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1F3B00A1" w:rsidR="001A4C37" w:rsidRDefault="009827B7" w:rsidP="001A4C37">
            <w:r>
              <w:t>Cannon Fire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9B8AB4D" w:rsidR="001A4C37" w:rsidRDefault="001A4C37" w:rsidP="001A4C37">
            <w:r>
              <w:t>October 201</w:t>
            </w:r>
            <w:r w:rsidR="006864CD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A593C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6CEB338B" w:rsidR="00E33875" w:rsidRPr="005E10D3" w:rsidRDefault="005E10D3" w:rsidP="005E10D3">
            <w:r>
              <w:t>Decomposition products of KMnO</w:t>
            </w:r>
            <w:r w:rsidRPr="00B64292">
              <w:rPr>
                <w:vertAlign w:val="subscript"/>
              </w:rPr>
              <w:t>4</w:t>
            </w:r>
            <w:r>
              <w:t xml:space="preserve"> are harmful.</w:t>
            </w:r>
          </w:p>
        </w:tc>
        <w:tc>
          <w:tcPr>
            <w:tcW w:w="2268" w:type="dxa"/>
          </w:tcPr>
          <w:p w14:paraId="72B3DB14" w14:textId="77777777" w:rsidR="006C370A" w:rsidRDefault="006C370A" w:rsidP="006C370A">
            <w:r>
              <w:t>Demonstrator by inhalation</w:t>
            </w:r>
          </w:p>
          <w:p w14:paraId="685597AD" w14:textId="57EEFD19" w:rsidR="00FA593C" w:rsidRPr="00EC550B" w:rsidRDefault="00FA593C" w:rsidP="00FA593C"/>
        </w:tc>
        <w:tc>
          <w:tcPr>
            <w:tcW w:w="5924" w:type="dxa"/>
          </w:tcPr>
          <w:p w14:paraId="3A3F3BDC" w14:textId="77777777" w:rsidR="003D2DD0" w:rsidRDefault="003D2DD0" w:rsidP="003D2DD0">
            <w:r>
              <w:t>Carry out demonstration in well-ventilated room. Avoid inhalation of vapour so far as is possible.</w:t>
            </w:r>
          </w:p>
          <w:p w14:paraId="34A8D323" w14:textId="7D4B252F" w:rsidR="00FA593C" w:rsidRPr="00334C42" w:rsidRDefault="00FA593C" w:rsidP="00334C42"/>
        </w:tc>
        <w:tc>
          <w:tcPr>
            <w:tcW w:w="1134" w:type="dxa"/>
          </w:tcPr>
          <w:p w14:paraId="4BB8AF72" w14:textId="77777777" w:rsidR="00FA593C" w:rsidRDefault="00FA593C" w:rsidP="00FA593C"/>
        </w:tc>
        <w:tc>
          <w:tcPr>
            <w:tcW w:w="993" w:type="dxa"/>
          </w:tcPr>
          <w:p w14:paraId="072F7811" w14:textId="77777777" w:rsidR="00FA593C" w:rsidRDefault="00FA593C" w:rsidP="00FA593C"/>
        </w:tc>
        <w:tc>
          <w:tcPr>
            <w:tcW w:w="708" w:type="dxa"/>
          </w:tcPr>
          <w:p w14:paraId="431DDAE0" w14:textId="77777777" w:rsidR="00FA593C" w:rsidRDefault="00FA593C" w:rsidP="00FA593C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4CF0665F" w:rsidR="00FA593C" w:rsidRPr="003D716C" w:rsidRDefault="005E10D3" w:rsidP="00FA593C">
            <w:r>
              <w:t>Ethanol is highly flammable</w:t>
            </w:r>
          </w:p>
        </w:tc>
        <w:tc>
          <w:tcPr>
            <w:tcW w:w="2268" w:type="dxa"/>
          </w:tcPr>
          <w:p w14:paraId="7CCF58C9" w14:textId="3107D225" w:rsidR="00FA593C" w:rsidRDefault="00AF71DF" w:rsidP="00FA593C">
            <w:r>
              <w:t>Demonstrator – ‘explosions’ can cause spillage.</w:t>
            </w:r>
          </w:p>
        </w:tc>
        <w:tc>
          <w:tcPr>
            <w:tcW w:w="5924" w:type="dxa"/>
          </w:tcPr>
          <w:p w14:paraId="5EE75484" w14:textId="77777777" w:rsidR="00E77C7D" w:rsidRDefault="00E77C7D" w:rsidP="00E77C7D">
            <w:r>
              <w:t>Do not add more KMnO</w:t>
            </w:r>
            <w:r w:rsidRPr="00FA1D8A">
              <w:rPr>
                <w:vertAlign w:val="subscript"/>
              </w:rPr>
              <w:t>4</w:t>
            </w:r>
            <w:r>
              <w:t xml:space="preserve"> at a time than recommended.</w:t>
            </w:r>
          </w:p>
          <w:p w14:paraId="6BA24748" w14:textId="77777777" w:rsidR="00E77C7D" w:rsidRDefault="00E77C7D" w:rsidP="00E77C7D">
            <w:r>
              <w:t>Do not use any more concentrated solution of hydrogen peroxide.</w:t>
            </w:r>
          </w:p>
          <w:p w14:paraId="398E1F51" w14:textId="4B95949C" w:rsidR="00FA593C" w:rsidRPr="003D716C" w:rsidRDefault="00E77C7D" w:rsidP="00E77C7D">
            <w:r>
              <w:t>Do not use larger quantities than recommended.</w:t>
            </w:r>
          </w:p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61E6127C" w14:textId="5DBCBECC" w:rsidR="000E7345" w:rsidRDefault="00F312BF" w:rsidP="000E7345">
            <w:r>
              <w:t xml:space="preserve">100 vol </w:t>
            </w:r>
            <w:r w:rsidR="009A1E87">
              <w:t xml:space="preserve">Hydrogen </w:t>
            </w:r>
            <w:r>
              <w:t>peroxide is corrosive and an oxidiser</w:t>
            </w:r>
          </w:p>
        </w:tc>
        <w:tc>
          <w:tcPr>
            <w:tcW w:w="2268" w:type="dxa"/>
          </w:tcPr>
          <w:p w14:paraId="525FFD4E" w14:textId="0A1FCAD9" w:rsidR="000E7345" w:rsidRPr="00934390" w:rsidRDefault="00F312BF" w:rsidP="000E7345">
            <w:r>
              <w:t>Technicians preparing dilute solution by splashes</w:t>
            </w:r>
          </w:p>
        </w:tc>
        <w:tc>
          <w:tcPr>
            <w:tcW w:w="5924" w:type="dxa"/>
          </w:tcPr>
          <w:p w14:paraId="47858682" w14:textId="6BFD81CD" w:rsidR="00BD6F23" w:rsidRPr="00BD6F23" w:rsidRDefault="00C03C34" w:rsidP="00BD6F2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156F80">
              <w:rPr>
                <w:rFonts w:ascii="Tahoma" w:hAnsi="Tahoma"/>
                <w:sz w:val="20"/>
                <w:szCs w:val="20"/>
                <w:lang w:val="en-US" w:eastAsia="en-US"/>
              </w:rPr>
              <w:t>eep away from any combustible materials. Avoid splashing. Wear goggles (EN 166 3) and gloves.</w:t>
            </w: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  <w:tr w:rsidR="000E7345" w14:paraId="18B9FC01" w14:textId="77777777" w:rsidTr="00433122">
        <w:trPr>
          <w:trHeight w:val="709"/>
        </w:trPr>
        <w:tc>
          <w:tcPr>
            <w:tcW w:w="3256" w:type="dxa"/>
          </w:tcPr>
          <w:p w14:paraId="7A7CFD94" w14:textId="57676A97" w:rsidR="000E7345" w:rsidRPr="009827B7" w:rsidRDefault="00353404" w:rsidP="000E7345">
            <w:r w:rsidRPr="009827B7">
              <w:t>20 vol hydrogen peroxide is an irritant</w:t>
            </w:r>
          </w:p>
        </w:tc>
        <w:tc>
          <w:tcPr>
            <w:tcW w:w="2268" w:type="dxa"/>
          </w:tcPr>
          <w:p w14:paraId="28190BBB" w14:textId="3B641555" w:rsidR="000E7345" w:rsidRPr="00D20938" w:rsidRDefault="009827B7" w:rsidP="000E7345">
            <w:r>
              <w:t>Demonstrator by spillage</w:t>
            </w:r>
          </w:p>
        </w:tc>
        <w:tc>
          <w:tcPr>
            <w:tcW w:w="5924" w:type="dxa"/>
          </w:tcPr>
          <w:p w14:paraId="63E3CD3D" w14:textId="3BAECD3D" w:rsidR="0060493A" w:rsidRPr="009827B7" w:rsidRDefault="009827B7" w:rsidP="00891A92">
            <w:r w:rsidRPr="009827B7">
              <w:t>Stand back while demonstration is happening. Wear eye protection</w:t>
            </w:r>
            <w:r>
              <w:t>.</w:t>
            </w:r>
          </w:p>
        </w:tc>
        <w:tc>
          <w:tcPr>
            <w:tcW w:w="1134" w:type="dxa"/>
          </w:tcPr>
          <w:p w14:paraId="354581DD" w14:textId="77777777" w:rsidR="000E7345" w:rsidRDefault="000E7345" w:rsidP="000E7345"/>
        </w:tc>
        <w:tc>
          <w:tcPr>
            <w:tcW w:w="993" w:type="dxa"/>
          </w:tcPr>
          <w:p w14:paraId="4693D9EB" w14:textId="77777777" w:rsidR="000E7345" w:rsidRDefault="000E7345" w:rsidP="000E7345"/>
        </w:tc>
        <w:tc>
          <w:tcPr>
            <w:tcW w:w="708" w:type="dxa"/>
          </w:tcPr>
          <w:p w14:paraId="311BF605" w14:textId="77777777" w:rsidR="000E7345" w:rsidRDefault="000E7345" w:rsidP="000E734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5EB5F045" w14:textId="2150CDA3" w:rsidR="00CC27BB" w:rsidRPr="00433122" w:rsidRDefault="00491CAB" w:rsidP="00491CAB">
            <w:pPr>
              <w:ind w:firstLine="21"/>
              <w:rPr>
                <w:sz w:val="22"/>
                <w:szCs w:val="22"/>
              </w:rPr>
            </w:pPr>
            <w:r>
              <w:rPr>
                <w:lang w:val="en-GB"/>
              </w:rPr>
              <w:t>30 cm</w:t>
            </w:r>
            <w:r w:rsidRPr="00FA1D8A">
              <w:rPr>
                <w:vertAlign w:val="superscript"/>
                <w:lang w:val="en-GB"/>
              </w:rPr>
              <w:t>3</w:t>
            </w:r>
            <w:r w:rsidRPr="00FA1D8A">
              <w:rPr>
                <w:lang w:val="en-GB"/>
              </w:rPr>
              <w:t xml:space="preserve"> of 20-volume hydrogen peroxide is mixed with 20 </w:t>
            </w:r>
            <w:r>
              <w:rPr>
                <w:lang w:val="en-GB"/>
              </w:rPr>
              <w:t>cm</w:t>
            </w:r>
            <w:r w:rsidRPr="00FA1D8A">
              <w:rPr>
                <w:vertAlign w:val="superscript"/>
                <w:lang w:val="en-GB"/>
              </w:rPr>
              <w:t>3</w:t>
            </w:r>
            <w:r w:rsidRPr="00FA1D8A">
              <w:rPr>
                <w:lang w:val="en-GB"/>
              </w:rPr>
              <w:t xml:space="preserve"> ethanol in a large evaporating basin. The</w:t>
            </w:r>
            <w:r>
              <w:rPr>
                <w:lang w:val="en-GB"/>
              </w:rPr>
              <w:t xml:space="preserve"> </w:t>
            </w:r>
            <w:r w:rsidRPr="00FA1D8A">
              <w:rPr>
                <w:lang w:val="en-GB"/>
              </w:rPr>
              <w:t xml:space="preserve">ethanol is </w:t>
            </w:r>
            <w:r>
              <w:rPr>
                <w:lang w:val="en-GB"/>
              </w:rPr>
              <w:t>lit</w:t>
            </w:r>
            <w:r w:rsidRPr="00FA1D8A">
              <w:rPr>
                <w:lang w:val="en-GB"/>
              </w:rPr>
              <w:t xml:space="preserve"> with a </w:t>
            </w:r>
            <w:r>
              <w:rPr>
                <w:lang w:val="en-GB"/>
              </w:rPr>
              <w:t>splint</w:t>
            </w:r>
            <w:r w:rsidRPr="00FA1D8A">
              <w:rPr>
                <w:lang w:val="en-GB"/>
              </w:rPr>
              <w:t xml:space="preserve">. </w:t>
            </w:r>
            <w:r>
              <w:rPr>
                <w:lang w:val="en-GB"/>
              </w:rPr>
              <w:t>A small amount (</w:t>
            </w:r>
            <w:r w:rsidRPr="00FA1D8A">
              <w:rPr>
                <w:lang w:val="en-GB"/>
              </w:rPr>
              <w:t xml:space="preserve">0.5 g </w:t>
            </w:r>
            <w:r>
              <w:rPr>
                <w:lang w:val="en-GB"/>
              </w:rPr>
              <w:t xml:space="preserve">or so) of </w:t>
            </w:r>
            <w:r w:rsidRPr="00FA1D8A">
              <w:rPr>
                <w:lang w:val="en-GB"/>
              </w:rPr>
              <w:t xml:space="preserve">potassium manganate(VII) is sprinkled into the burning ethanol. </w:t>
            </w:r>
            <w:r>
              <w:rPr>
                <w:lang w:val="en-GB"/>
              </w:rPr>
              <w:t xml:space="preserve">The KMnO4 decomposes to release oxygen and this </w:t>
            </w:r>
            <w:r w:rsidRPr="00FA1D8A">
              <w:rPr>
                <w:lang w:val="en-GB"/>
              </w:rPr>
              <w:t>increases the rate of burning of the ethanol, this will be accompanied by the sound</w:t>
            </w:r>
            <w:r>
              <w:rPr>
                <w:lang w:val="en-GB"/>
              </w:rPr>
              <w:t xml:space="preserve"> </w:t>
            </w:r>
            <w:r w:rsidRPr="00FA1D8A">
              <w:rPr>
                <w:lang w:val="en-GB"/>
              </w:rPr>
              <w:t>of a series of loud, but harmless, detonations</w:t>
            </w:r>
            <w:r>
              <w:rPr>
                <w:lang w:val="en-GB"/>
              </w:rPr>
              <w:t>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7473ADE1" w:rsidR="00CC27BB" w:rsidRDefault="00385C3E" w:rsidP="00253512">
            <w:r>
              <w:t>Very little, if any, smoke is produced in this demonstration but it should nonetheless not be carried out directly underneath a smoke detector.</w:t>
            </w:r>
          </w:p>
        </w:tc>
      </w:tr>
    </w:tbl>
    <w:p w14:paraId="412B5F15" w14:textId="77777777" w:rsidR="00185440" w:rsidRDefault="009827B7">
      <w:bookmarkStart w:id="0" w:name="_GoBack"/>
      <w:bookmarkEnd w:id="0"/>
    </w:p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E191" w14:textId="77777777" w:rsidR="007D1ABA" w:rsidRDefault="007D1ABA">
      <w:r>
        <w:separator/>
      </w:r>
    </w:p>
  </w:endnote>
  <w:endnote w:type="continuationSeparator" w:id="0">
    <w:p w14:paraId="2417556D" w14:textId="77777777" w:rsidR="007D1ABA" w:rsidRDefault="007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982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982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69EC" w14:textId="77777777" w:rsidR="007D1ABA" w:rsidRDefault="007D1ABA">
      <w:r>
        <w:separator/>
      </w:r>
    </w:p>
  </w:footnote>
  <w:footnote w:type="continuationSeparator" w:id="0">
    <w:p w14:paraId="4BB358AD" w14:textId="77777777" w:rsidR="007D1ABA" w:rsidRDefault="007D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982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982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982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77AC3"/>
    <w:rsid w:val="000A0CAD"/>
    <w:rsid w:val="000E7345"/>
    <w:rsid w:val="00107A90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E431B"/>
    <w:rsid w:val="003F3EA1"/>
    <w:rsid w:val="004017D9"/>
    <w:rsid w:val="00407157"/>
    <w:rsid w:val="00423CD9"/>
    <w:rsid w:val="00433122"/>
    <w:rsid w:val="004573DF"/>
    <w:rsid w:val="0045790D"/>
    <w:rsid w:val="00462453"/>
    <w:rsid w:val="00462EFE"/>
    <w:rsid w:val="004655A2"/>
    <w:rsid w:val="00491CAB"/>
    <w:rsid w:val="004C4DCD"/>
    <w:rsid w:val="004D39A2"/>
    <w:rsid w:val="004E2074"/>
    <w:rsid w:val="004E3F3E"/>
    <w:rsid w:val="004E6BC3"/>
    <w:rsid w:val="004F3B78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AF4"/>
    <w:rsid w:val="00652106"/>
    <w:rsid w:val="006529D9"/>
    <w:rsid w:val="0065328D"/>
    <w:rsid w:val="006864CD"/>
    <w:rsid w:val="006A3422"/>
    <w:rsid w:val="006C17F9"/>
    <w:rsid w:val="006C370A"/>
    <w:rsid w:val="006D2E20"/>
    <w:rsid w:val="006D5D77"/>
    <w:rsid w:val="006E1CDF"/>
    <w:rsid w:val="006E27A3"/>
    <w:rsid w:val="006F57EA"/>
    <w:rsid w:val="0071543A"/>
    <w:rsid w:val="007210D6"/>
    <w:rsid w:val="00721FAE"/>
    <w:rsid w:val="007474C7"/>
    <w:rsid w:val="00750648"/>
    <w:rsid w:val="00752E9D"/>
    <w:rsid w:val="00763E0A"/>
    <w:rsid w:val="007663E7"/>
    <w:rsid w:val="0078467D"/>
    <w:rsid w:val="00784F60"/>
    <w:rsid w:val="007A5D4D"/>
    <w:rsid w:val="007B439F"/>
    <w:rsid w:val="007D1320"/>
    <w:rsid w:val="007D1ABA"/>
    <w:rsid w:val="007F3A43"/>
    <w:rsid w:val="007F5E3B"/>
    <w:rsid w:val="0081148D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A086A"/>
    <w:rsid w:val="009A1E87"/>
    <w:rsid w:val="009B4517"/>
    <w:rsid w:val="009C11AE"/>
    <w:rsid w:val="00A12563"/>
    <w:rsid w:val="00A41976"/>
    <w:rsid w:val="00AA532D"/>
    <w:rsid w:val="00AC48FF"/>
    <w:rsid w:val="00AD0A0A"/>
    <w:rsid w:val="00AD4B81"/>
    <w:rsid w:val="00AE0267"/>
    <w:rsid w:val="00AE38FC"/>
    <w:rsid w:val="00AF1FE4"/>
    <w:rsid w:val="00AF71DF"/>
    <w:rsid w:val="00B24B10"/>
    <w:rsid w:val="00B302C5"/>
    <w:rsid w:val="00B8315D"/>
    <w:rsid w:val="00BA3643"/>
    <w:rsid w:val="00BD6F23"/>
    <w:rsid w:val="00C03C34"/>
    <w:rsid w:val="00C17AEF"/>
    <w:rsid w:val="00C24BA4"/>
    <w:rsid w:val="00C40B30"/>
    <w:rsid w:val="00C811DF"/>
    <w:rsid w:val="00C8648E"/>
    <w:rsid w:val="00C87A5F"/>
    <w:rsid w:val="00C87D20"/>
    <w:rsid w:val="00C942F0"/>
    <w:rsid w:val="00CA5354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F2D12"/>
    <w:rsid w:val="00EF7D57"/>
    <w:rsid w:val="00F0769C"/>
    <w:rsid w:val="00F22EA6"/>
    <w:rsid w:val="00F312BF"/>
    <w:rsid w:val="00F31A31"/>
    <w:rsid w:val="00F35525"/>
    <w:rsid w:val="00F35942"/>
    <w:rsid w:val="00F45021"/>
    <w:rsid w:val="00F64D93"/>
    <w:rsid w:val="00F95BB0"/>
    <w:rsid w:val="00FA3CD5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198</cp:revision>
  <dcterms:created xsi:type="dcterms:W3CDTF">2019-11-27T13:54:00Z</dcterms:created>
  <dcterms:modified xsi:type="dcterms:W3CDTF">2019-11-28T15:02:00Z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