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FF" w:rsidRDefault="00690C8A" w:rsidP="00C6779F">
      <w:pPr>
        <w:jc w:val="center"/>
        <w:rPr>
          <w:rFonts w:ascii="Tahoma" w:hAnsi="Tahoma" w:cs="Tahoma"/>
          <w:sz w:val="31"/>
          <w:szCs w:val="31"/>
          <w:lang w:val="en-GB"/>
        </w:rPr>
      </w:pPr>
      <w:r>
        <w:rPr>
          <w:rFonts w:ascii="Tahoma" w:hAnsi="Tahoma" w:cs="Tahoma"/>
          <w:noProof/>
          <w:sz w:val="31"/>
          <w:szCs w:val="31"/>
          <w:lang w:val="en-GB" w:eastAsia="en-GB"/>
        </w:rPr>
        <w:drawing>
          <wp:anchor distT="0" distB="0" distL="114300" distR="114300" simplePos="0" relativeHeight="251656192" behindDoc="0" locked="0" layoutInCell="1" allowOverlap="1">
            <wp:simplePos x="0" y="0"/>
            <wp:positionH relativeFrom="margin">
              <wp:align>right</wp:align>
            </wp:positionH>
            <wp:positionV relativeFrom="margin">
              <wp:align>top</wp:align>
            </wp:positionV>
            <wp:extent cx="1511300" cy="1111250"/>
            <wp:effectExtent l="19050" t="0" r="0" b="0"/>
            <wp:wrapSquare wrapText="bothSides"/>
            <wp:docPr id="5" name="Picture 0" descr="Survival_Riv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urvival_Rivals.jpg"/>
                    <pic:cNvPicPr>
                      <a:picLocks noChangeAspect="1" noChangeArrowheads="1"/>
                    </pic:cNvPicPr>
                  </pic:nvPicPr>
                  <pic:blipFill>
                    <a:blip r:embed="rId8" cstate="print"/>
                    <a:srcRect/>
                    <a:stretch>
                      <a:fillRect/>
                    </a:stretch>
                  </pic:blipFill>
                  <pic:spPr bwMode="auto">
                    <a:xfrm>
                      <a:off x="0" y="0"/>
                      <a:ext cx="1511300" cy="1111250"/>
                    </a:xfrm>
                    <a:prstGeom prst="rect">
                      <a:avLst/>
                    </a:prstGeom>
                    <a:noFill/>
                  </pic:spPr>
                </pic:pic>
              </a:graphicData>
            </a:graphic>
          </wp:anchor>
        </w:drawing>
      </w:r>
      <w:r w:rsidR="00F76BFF">
        <w:rPr>
          <w:rFonts w:ascii="Tahoma" w:hAnsi="Tahoma" w:cs="Tahoma"/>
          <w:sz w:val="31"/>
          <w:szCs w:val="31"/>
          <w:lang w:val="en-GB"/>
        </w:rPr>
        <w:t xml:space="preserve">The X-Bacteria: </w:t>
      </w:r>
      <w:r w:rsidR="006B5BFD">
        <w:rPr>
          <w:rFonts w:ascii="Tahoma" w:hAnsi="Tahoma" w:cs="Tahoma"/>
          <w:sz w:val="31"/>
          <w:szCs w:val="31"/>
          <w:lang w:val="en-GB"/>
        </w:rPr>
        <w:t>some additional s</w:t>
      </w:r>
      <w:r w:rsidR="00F76BFF">
        <w:rPr>
          <w:rFonts w:ascii="Tahoma" w:hAnsi="Tahoma" w:cs="Tahoma"/>
          <w:sz w:val="31"/>
          <w:szCs w:val="31"/>
          <w:lang w:val="en-GB"/>
        </w:rPr>
        <w:t xml:space="preserve">afety </w:t>
      </w:r>
      <w:r w:rsidR="006B5BFD">
        <w:rPr>
          <w:rFonts w:ascii="Tahoma" w:hAnsi="Tahoma" w:cs="Tahoma"/>
          <w:sz w:val="31"/>
          <w:szCs w:val="31"/>
          <w:lang w:val="en-GB"/>
        </w:rPr>
        <w:t>a</w:t>
      </w:r>
      <w:r w:rsidR="00F76BFF">
        <w:rPr>
          <w:rFonts w:ascii="Tahoma" w:hAnsi="Tahoma" w:cs="Tahoma"/>
          <w:sz w:val="31"/>
          <w:szCs w:val="31"/>
          <w:lang w:val="en-GB"/>
        </w:rPr>
        <w:t>dvice</w:t>
      </w:r>
    </w:p>
    <w:p w:rsidR="006F245D" w:rsidRDefault="00690C8A" w:rsidP="00F76BFF">
      <w:pPr>
        <w:rPr>
          <w:rFonts w:ascii="Tahoma" w:hAnsi="Tahoma" w:cs="Tahoma"/>
          <w:sz w:val="18"/>
          <w:szCs w:val="18"/>
          <w:lang w:val="en-GB"/>
        </w:rPr>
      </w:pPr>
      <w:r>
        <w:rPr>
          <w:rFonts w:ascii="Tahoma" w:hAnsi="Tahoma" w:cs="Tahoma"/>
          <w:i/>
          <w:noProof/>
          <w:sz w:val="18"/>
          <w:szCs w:val="18"/>
          <w:lang w:val="en-GB" w:eastAsia="en-GB"/>
        </w:rPr>
        <w:drawing>
          <wp:anchor distT="0" distB="0" distL="114300" distR="114300" simplePos="0" relativeHeight="251657216" behindDoc="0" locked="0" layoutInCell="1" allowOverlap="1">
            <wp:simplePos x="0" y="0"/>
            <wp:positionH relativeFrom="margin">
              <wp:posOffset>4857750</wp:posOffset>
            </wp:positionH>
            <wp:positionV relativeFrom="margin">
              <wp:posOffset>1161415</wp:posOffset>
            </wp:positionV>
            <wp:extent cx="1123950" cy="1949450"/>
            <wp:effectExtent l="19050" t="0" r="0" b="0"/>
            <wp:wrapSquare wrapText="bothSides"/>
            <wp:docPr id="4" name="Picture 1" descr="home-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bacteria.jpg"/>
                    <pic:cNvPicPr>
                      <a:picLocks noChangeAspect="1" noChangeArrowheads="1"/>
                    </pic:cNvPicPr>
                  </pic:nvPicPr>
                  <pic:blipFill>
                    <a:blip r:embed="rId9" cstate="print"/>
                    <a:srcRect/>
                    <a:stretch>
                      <a:fillRect/>
                    </a:stretch>
                  </pic:blipFill>
                  <pic:spPr bwMode="auto">
                    <a:xfrm>
                      <a:off x="0" y="0"/>
                      <a:ext cx="1123950" cy="1949450"/>
                    </a:xfrm>
                    <a:prstGeom prst="rect">
                      <a:avLst/>
                    </a:prstGeom>
                    <a:noFill/>
                  </pic:spPr>
                </pic:pic>
              </a:graphicData>
            </a:graphic>
          </wp:anchor>
        </w:drawing>
      </w:r>
      <w:r w:rsidR="00D33D50" w:rsidRPr="00D33D50">
        <w:rPr>
          <w:rFonts w:ascii="Tahoma" w:hAnsi="Tahoma" w:cs="Tahoma"/>
          <w:i/>
          <w:sz w:val="18"/>
          <w:szCs w:val="18"/>
          <w:lang w:val="en-GB"/>
        </w:rPr>
        <w:t>X-Bacteria</w:t>
      </w:r>
      <w:r w:rsidR="00F65248">
        <w:rPr>
          <w:rFonts w:ascii="Tahoma" w:hAnsi="Tahoma" w:cs="Tahoma"/>
          <w:i/>
          <w:sz w:val="18"/>
          <w:szCs w:val="18"/>
          <w:lang w:val="en-GB"/>
        </w:rPr>
        <w:t xml:space="preserve"> </w:t>
      </w:r>
      <w:r w:rsidR="006F245D">
        <w:rPr>
          <w:rFonts w:ascii="Tahoma" w:hAnsi="Tahoma" w:cs="Tahoma"/>
          <w:sz w:val="18"/>
          <w:szCs w:val="18"/>
          <w:lang w:val="en-GB"/>
        </w:rPr>
        <w:t xml:space="preserve">[1] </w:t>
      </w:r>
      <w:proofErr w:type="gramStart"/>
      <w:r w:rsidR="006F245D">
        <w:rPr>
          <w:rFonts w:ascii="Tahoma" w:hAnsi="Tahoma" w:cs="Tahoma"/>
          <w:sz w:val="18"/>
          <w:szCs w:val="18"/>
          <w:lang w:val="en-GB"/>
        </w:rPr>
        <w:t>is</w:t>
      </w:r>
      <w:proofErr w:type="gramEnd"/>
      <w:r w:rsidR="006F245D">
        <w:rPr>
          <w:rFonts w:ascii="Tahoma" w:hAnsi="Tahoma" w:cs="Tahoma"/>
          <w:sz w:val="18"/>
          <w:szCs w:val="18"/>
          <w:lang w:val="en-GB"/>
        </w:rPr>
        <w:t xml:space="preserve"> a practical kit, funded by The </w:t>
      </w:r>
      <w:proofErr w:type="spellStart"/>
      <w:r w:rsidR="006F245D">
        <w:rPr>
          <w:rFonts w:ascii="Tahoma" w:hAnsi="Tahoma" w:cs="Tahoma"/>
          <w:sz w:val="18"/>
          <w:szCs w:val="18"/>
          <w:lang w:val="en-GB"/>
        </w:rPr>
        <w:t>Wellcome</w:t>
      </w:r>
      <w:proofErr w:type="spellEnd"/>
      <w:r w:rsidR="006F245D">
        <w:rPr>
          <w:rFonts w:ascii="Tahoma" w:hAnsi="Tahoma" w:cs="Tahoma"/>
          <w:sz w:val="18"/>
          <w:szCs w:val="18"/>
          <w:lang w:val="en-GB"/>
        </w:rPr>
        <w:t xml:space="preserve"> Trust, which forms part of the Survival Rivals [2] series of activities to celebrate Darwin Year.  These excellent activities, which are available free to schools, enable pupils to examine different aspects of evolution.   The dramatic increase in numbers and types of antibiotic-resistant bacteria is a striking and important modern example of evolution which has impact on medical practice and society.  The X-Bacteria practical involves allowing two strains of bacteria, each of which is resistant to a different antibiotic, to conjugate.   After transferring aseptically to media that contain different combinations of antibiotics, the bacteria are then incubated to look for any that now demonstrate double antibiotic resistance.</w:t>
      </w:r>
    </w:p>
    <w:p w:rsidR="006F245D" w:rsidRDefault="006F245D" w:rsidP="00F76BFF">
      <w:pPr>
        <w:rPr>
          <w:rFonts w:ascii="Tahoma" w:hAnsi="Tahoma" w:cs="Tahoma"/>
          <w:sz w:val="18"/>
          <w:szCs w:val="18"/>
          <w:lang w:val="en-GB"/>
        </w:rPr>
      </w:pPr>
      <w:r>
        <w:rPr>
          <w:rFonts w:ascii="Tahoma" w:hAnsi="Tahoma" w:cs="Tahoma"/>
          <w:sz w:val="18"/>
          <w:szCs w:val="18"/>
          <w:lang w:val="en-GB"/>
        </w:rPr>
        <w:t xml:space="preserve">Guidance for Scottish schools on the safe use of microorganisms is provided in the SSERC publication, </w:t>
      </w:r>
      <w:r w:rsidR="00D33D50" w:rsidRPr="00D33D50">
        <w:rPr>
          <w:rFonts w:ascii="Tahoma" w:hAnsi="Tahoma" w:cs="Tahoma"/>
          <w:i/>
          <w:sz w:val="18"/>
          <w:szCs w:val="18"/>
          <w:lang w:val="en-GB"/>
        </w:rPr>
        <w:t xml:space="preserve">Biology / Biotechnology Safety in Microbiology: a Code of Practice for Scottish Schools and </w:t>
      </w:r>
      <w:r w:rsidR="00F65248" w:rsidRPr="00D33D50">
        <w:rPr>
          <w:rFonts w:ascii="Tahoma" w:hAnsi="Tahoma" w:cs="Tahoma"/>
          <w:i/>
          <w:sz w:val="18"/>
          <w:szCs w:val="18"/>
          <w:lang w:val="en-GB"/>
        </w:rPr>
        <w:t>Colleges</w:t>
      </w:r>
      <w:r w:rsidR="00F65248">
        <w:rPr>
          <w:rFonts w:ascii="Tahoma" w:hAnsi="Tahoma" w:cs="Tahoma"/>
          <w:i/>
          <w:sz w:val="18"/>
          <w:szCs w:val="18"/>
          <w:lang w:val="en-GB"/>
        </w:rPr>
        <w:t xml:space="preserve"> </w:t>
      </w:r>
      <w:r w:rsidR="00F65248">
        <w:rPr>
          <w:rFonts w:ascii="Tahoma" w:hAnsi="Tahoma" w:cs="Tahoma"/>
          <w:sz w:val="18"/>
          <w:szCs w:val="18"/>
          <w:lang w:val="en-GB"/>
        </w:rPr>
        <w:t>[</w:t>
      </w:r>
      <w:r>
        <w:rPr>
          <w:rFonts w:ascii="Tahoma" w:hAnsi="Tahoma" w:cs="Tahoma"/>
          <w:sz w:val="18"/>
          <w:szCs w:val="18"/>
          <w:lang w:val="en-GB"/>
        </w:rPr>
        <w:t>3].  When practical microbiological work is carried out within this Code of Practice (</w:t>
      </w:r>
      <w:proofErr w:type="spellStart"/>
      <w:r w:rsidRPr="00CB3DA9">
        <w:rPr>
          <w:rFonts w:ascii="Tahoma" w:hAnsi="Tahoma" w:cs="Tahoma"/>
          <w:i/>
          <w:sz w:val="18"/>
          <w:szCs w:val="18"/>
          <w:lang w:val="en-GB"/>
        </w:rPr>
        <w:t>CoP</w:t>
      </w:r>
      <w:proofErr w:type="spellEnd"/>
      <w:r>
        <w:rPr>
          <w:rFonts w:ascii="Tahoma" w:hAnsi="Tahoma" w:cs="Tahoma"/>
          <w:sz w:val="18"/>
          <w:szCs w:val="18"/>
          <w:lang w:val="en-GB"/>
        </w:rPr>
        <w:t xml:space="preserve">), no additional risk assessment is required.  As with many new </w:t>
      </w:r>
      <w:proofErr w:type="spellStart"/>
      <w:r>
        <w:rPr>
          <w:rFonts w:ascii="Tahoma" w:hAnsi="Tahoma" w:cs="Tahoma"/>
          <w:sz w:val="18"/>
          <w:szCs w:val="18"/>
          <w:lang w:val="en-GB"/>
        </w:rPr>
        <w:t>practicals</w:t>
      </w:r>
      <w:proofErr w:type="spellEnd"/>
      <w:r>
        <w:rPr>
          <w:rFonts w:ascii="Tahoma" w:hAnsi="Tahoma" w:cs="Tahoma"/>
          <w:sz w:val="18"/>
          <w:szCs w:val="18"/>
          <w:lang w:val="en-GB"/>
        </w:rPr>
        <w:t xml:space="preserve">, X-Bacteria </w:t>
      </w:r>
      <w:proofErr w:type="gramStart"/>
      <w:r>
        <w:rPr>
          <w:rFonts w:ascii="Tahoma" w:hAnsi="Tahoma" w:cs="Tahoma"/>
          <w:sz w:val="18"/>
          <w:szCs w:val="18"/>
          <w:lang w:val="en-GB"/>
        </w:rPr>
        <w:t>raises</w:t>
      </w:r>
      <w:proofErr w:type="gramEnd"/>
      <w:r>
        <w:rPr>
          <w:rFonts w:ascii="Tahoma" w:hAnsi="Tahoma" w:cs="Tahoma"/>
          <w:sz w:val="18"/>
          <w:szCs w:val="18"/>
          <w:lang w:val="en-GB"/>
        </w:rPr>
        <w:t xml:space="preserve"> so</w:t>
      </w:r>
      <w:r w:rsidR="00520AAD">
        <w:rPr>
          <w:rFonts w:ascii="Tahoma" w:hAnsi="Tahoma" w:cs="Tahoma"/>
          <w:sz w:val="18"/>
          <w:szCs w:val="18"/>
          <w:lang w:val="en-GB"/>
        </w:rPr>
        <w:t>me technical issues with regard</w:t>
      </w:r>
      <w:r>
        <w:rPr>
          <w:rFonts w:ascii="Tahoma" w:hAnsi="Tahoma" w:cs="Tahoma"/>
          <w:sz w:val="18"/>
          <w:szCs w:val="18"/>
          <w:lang w:val="en-GB"/>
        </w:rPr>
        <w:t xml:space="preserve"> to ‘Health and Safety’.  In this article, we would like to address these.</w:t>
      </w:r>
    </w:p>
    <w:p w:rsidR="00645068" w:rsidRDefault="00690C8A">
      <w:pPr>
        <w:ind w:left="360"/>
        <w:rPr>
          <w:rFonts w:ascii="Tahoma" w:hAnsi="Tahoma" w:cs="Tahoma"/>
          <w:sz w:val="18"/>
          <w:szCs w:val="18"/>
          <w:lang w:val="en-GB"/>
        </w:rPr>
      </w:pPr>
      <w:r>
        <w:rPr>
          <w:rFonts w:ascii="Tahoma" w:hAnsi="Tahoma" w:cs="Tahoma"/>
          <w:noProof/>
          <w:sz w:val="18"/>
          <w:szCs w:val="18"/>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3505200</wp:posOffset>
            </wp:positionV>
            <wp:extent cx="1333500" cy="1891665"/>
            <wp:effectExtent l="19050" t="0" r="0" b="0"/>
            <wp:wrapSquare wrapText="bothSides"/>
            <wp:docPr id="3" name="Picture 4" desc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er.jpg"/>
                    <pic:cNvPicPr>
                      <a:picLocks noChangeAspect="1" noChangeArrowheads="1"/>
                    </pic:cNvPicPr>
                  </pic:nvPicPr>
                  <pic:blipFill>
                    <a:blip r:embed="rId10" cstate="print"/>
                    <a:srcRect/>
                    <a:stretch>
                      <a:fillRect/>
                    </a:stretch>
                  </pic:blipFill>
                  <pic:spPr bwMode="auto">
                    <a:xfrm>
                      <a:off x="0" y="0"/>
                      <a:ext cx="1333500" cy="1891665"/>
                    </a:xfrm>
                    <a:prstGeom prst="rect">
                      <a:avLst/>
                    </a:prstGeom>
                    <a:noFill/>
                  </pic:spPr>
                </pic:pic>
              </a:graphicData>
            </a:graphic>
          </wp:anchor>
        </w:drawing>
      </w:r>
      <w:r w:rsidR="00D33D50" w:rsidRPr="00D33D50">
        <w:rPr>
          <w:rFonts w:ascii="Tahoma" w:hAnsi="Tahoma" w:cs="Tahoma"/>
          <w:sz w:val="18"/>
          <w:szCs w:val="18"/>
          <w:lang w:val="en-GB"/>
        </w:rPr>
        <w:t xml:space="preserve">Two strains of </w:t>
      </w:r>
      <w:r w:rsidR="00D33D50" w:rsidRPr="00D33D50">
        <w:rPr>
          <w:rFonts w:ascii="Tahoma" w:hAnsi="Tahoma" w:cs="Tahoma"/>
          <w:i/>
          <w:sz w:val="18"/>
          <w:szCs w:val="18"/>
          <w:lang w:val="en-GB"/>
        </w:rPr>
        <w:t>E</w:t>
      </w:r>
      <w:r w:rsidR="00F65248">
        <w:rPr>
          <w:rFonts w:ascii="Tahoma" w:hAnsi="Tahoma" w:cs="Tahoma"/>
          <w:i/>
          <w:sz w:val="18"/>
          <w:szCs w:val="18"/>
          <w:lang w:val="en-GB"/>
        </w:rPr>
        <w:t>.</w:t>
      </w:r>
      <w:r w:rsidR="00D33D50" w:rsidRPr="00D33D50">
        <w:rPr>
          <w:rFonts w:ascii="Tahoma" w:hAnsi="Tahoma" w:cs="Tahoma"/>
          <w:i/>
          <w:sz w:val="18"/>
          <w:szCs w:val="18"/>
          <w:lang w:val="en-GB"/>
        </w:rPr>
        <w:t xml:space="preserve"> coli</w:t>
      </w:r>
      <w:r w:rsidR="00D33D50" w:rsidRPr="00D33D50">
        <w:rPr>
          <w:rFonts w:ascii="Tahoma" w:hAnsi="Tahoma" w:cs="Tahoma"/>
          <w:sz w:val="18"/>
          <w:szCs w:val="18"/>
          <w:lang w:val="en-GB"/>
        </w:rPr>
        <w:t xml:space="preserve"> are used, HT-99</w:t>
      </w:r>
      <w:r w:rsidR="005F1D12">
        <w:rPr>
          <w:rFonts w:ascii="Tahoma" w:hAnsi="Tahoma" w:cs="Tahoma"/>
          <w:sz w:val="18"/>
          <w:szCs w:val="18"/>
          <w:lang w:val="en-GB"/>
        </w:rPr>
        <w:t xml:space="preserve"> and J-53R, neither of which is</w:t>
      </w:r>
      <w:r w:rsidR="00D33D50" w:rsidRPr="00D33D50">
        <w:rPr>
          <w:rFonts w:ascii="Tahoma" w:hAnsi="Tahoma" w:cs="Tahoma"/>
          <w:sz w:val="18"/>
          <w:szCs w:val="18"/>
          <w:lang w:val="en-GB"/>
        </w:rPr>
        <w:t xml:space="preserve"> included </w:t>
      </w:r>
      <w:r w:rsidR="00D33D50" w:rsidRPr="00D33D50">
        <w:rPr>
          <w:rFonts w:ascii="Tahoma" w:hAnsi="Tahoma" w:cs="Tahoma"/>
          <w:i/>
          <w:sz w:val="18"/>
          <w:szCs w:val="18"/>
          <w:lang w:val="en-GB"/>
        </w:rPr>
        <w:t>per se</w:t>
      </w:r>
      <w:r w:rsidR="00D33D50" w:rsidRPr="00D33D50">
        <w:rPr>
          <w:rFonts w:ascii="Tahoma" w:hAnsi="Tahoma" w:cs="Tahoma"/>
          <w:sz w:val="18"/>
          <w:szCs w:val="18"/>
          <w:lang w:val="en-GB"/>
        </w:rPr>
        <w:t xml:space="preserve"> in the ‘selected organisms’ </w:t>
      </w:r>
      <w:proofErr w:type="gramStart"/>
      <w:r w:rsidR="00D33D50" w:rsidRPr="00D33D50">
        <w:rPr>
          <w:rFonts w:ascii="Tahoma" w:hAnsi="Tahoma" w:cs="Tahoma"/>
          <w:sz w:val="18"/>
          <w:szCs w:val="18"/>
          <w:lang w:val="en-GB"/>
        </w:rPr>
        <w:t>list</w:t>
      </w:r>
      <w:proofErr w:type="gramEnd"/>
      <w:r w:rsidR="00D9226D" w:rsidRPr="00C6779F">
        <w:rPr>
          <w:rStyle w:val="EndnoteReference"/>
          <w:rFonts w:ascii="Tahoma" w:hAnsi="Tahoma" w:cs="Tahoma"/>
          <w:sz w:val="18"/>
          <w:szCs w:val="18"/>
          <w:lang w:val="en-GB"/>
        </w:rPr>
        <w:t xml:space="preserve"> </w:t>
      </w:r>
      <w:r w:rsidR="00D33D50" w:rsidRPr="00D33D50">
        <w:rPr>
          <w:rFonts w:ascii="Tahoma" w:hAnsi="Tahoma" w:cs="Tahoma"/>
          <w:sz w:val="18"/>
          <w:szCs w:val="18"/>
          <w:lang w:val="en-GB"/>
        </w:rPr>
        <w:t xml:space="preserve">[4] within the </w:t>
      </w:r>
      <w:proofErr w:type="spellStart"/>
      <w:r w:rsidR="00D33D50" w:rsidRPr="00D33D50">
        <w:rPr>
          <w:rFonts w:ascii="Tahoma" w:hAnsi="Tahoma" w:cs="Tahoma"/>
          <w:i/>
          <w:sz w:val="18"/>
          <w:szCs w:val="18"/>
          <w:lang w:val="en-GB"/>
        </w:rPr>
        <w:t>CoP</w:t>
      </w:r>
      <w:r w:rsidR="005426DF">
        <w:rPr>
          <w:rFonts w:ascii="Tahoma" w:hAnsi="Tahoma" w:cs="Tahoma"/>
          <w:sz w:val="18"/>
          <w:szCs w:val="18"/>
          <w:lang w:val="en-GB"/>
        </w:rPr>
        <w:t>.</w:t>
      </w:r>
      <w:proofErr w:type="spellEnd"/>
      <w:r w:rsidR="005426DF">
        <w:rPr>
          <w:rFonts w:ascii="Tahoma" w:hAnsi="Tahoma" w:cs="Tahoma"/>
          <w:sz w:val="18"/>
          <w:szCs w:val="18"/>
          <w:lang w:val="en-GB"/>
        </w:rPr>
        <w:t xml:space="preserve">   However</w:t>
      </w:r>
      <w:proofErr w:type="gramStart"/>
      <w:r w:rsidR="005426DF">
        <w:rPr>
          <w:rFonts w:ascii="Tahoma" w:hAnsi="Tahoma" w:cs="Tahoma"/>
          <w:sz w:val="18"/>
          <w:szCs w:val="18"/>
          <w:lang w:val="en-GB"/>
        </w:rPr>
        <w:t>,</w:t>
      </w:r>
      <w:r w:rsidR="00D33D50" w:rsidRPr="00D33D50">
        <w:rPr>
          <w:rFonts w:ascii="Tahoma" w:hAnsi="Tahoma" w:cs="Tahoma"/>
          <w:sz w:val="18"/>
          <w:szCs w:val="18"/>
          <w:lang w:val="en-GB"/>
        </w:rPr>
        <w:t xml:space="preserve">  HT</w:t>
      </w:r>
      <w:proofErr w:type="gramEnd"/>
      <w:r w:rsidR="00D33D50" w:rsidRPr="00D33D50">
        <w:rPr>
          <w:rFonts w:ascii="Tahoma" w:hAnsi="Tahoma" w:cs="Tahoma"/>
          <w:sz w:val="18"/>
          <w:szCs w:val="18"/>
          <w:lang w:val="en-GB"/>
        </w:rPr>
        <w:t xml:space="preserve">-99 is a derivative of </w:t>
      </w:r>
      <w:r w:rsidR="00D33D50" w:rsidRPr="00D33D50">
        <w:rPr>
          <w:rFonts w:ascii="Tahoma" w:hAnsi="Tahoma" w:cs="Tahoma"/>
          <w:i/>
          <w:sz w:val="18"/>
          <w:szCs w:val="18"/>
          <w:lang w:val="en-GB"/>
        </w:rPr>
        <w:t>E coli</w:t>
      </w:r>
      <w:r w:rsidR="00D33D50" w:rsidRPr="00D33D50">
        <w:rPr>
          <w:rFonts w:ascii="Tahoma" w:hAnsi="Tahoma" w:cs="Tahoma"/>
          <w:sz w:val="18"/>
          <w:szCs w:val="18"/>
          <w:lang w:val="en-GB"/>
        </w:rPr>
        <w:t xml:space="preserve"> strain B, and J-53R is a derivative of </w:t>
      </w:r>
      <w:r w:rsidR="00D33D50" w:rsidRPr="00D33D50">
        <w:rPr>
          <w:rFonts w:ascii="Tahoma" w:hAnsi="Tahoma" w:cs="Tahoma"/>
          <w:i/>
          <w:sz w:val="18"/>
          <w:szCs w:val="18"/>
          <w:lang w:val="en-GB"/>
        </w:rPr>
        <w:t>E</w:t>
      </w:r>
      <w:r w:rsidR="00F65248">
        <w:rPr>
          <w:rFonts w:ascii="Tahoma" w:hAnsi="Tahoma" w:cs="Tahoma"/>
          <w:i/>
          <w:sz w:val="18"/>
          <w:szCs w:val="18"/>
          <w:lang w:val="en-GB"/>
        </w:rPr>
        <w:t>.</w:t>
      </w:r>
      <w:r w:rsidR="00D33D50" w:rsidRPr="00D33D50">
        <w:rPr>
          <w:rFonts w:ascii="Tahoma" w:hAnsi="Tahoma" w:cs="Tahoma"/>
          <w:i/>
          <w:sz w:val="18"/>
          <w:szCs w:val="18"/>
          <w:lang w:val="en-GB"/>
        </w:rPr>
        <w:t> coli</w:t>
      </w:r>
      <w:r w:rsidR="00D33D50" w:rsidRPr="00D33D50">
        <w:rPr>
          <w:rFonts w:ascii="Tahoma" w:hAnsi="Tahoma" w:cs="Tahoma"/>
          <w:sz w:val="18"/>
          <w:szCs w:val="18"/>
          <w:lang w:val="en-GB"/>
        </w:rPr>
        <w:t xml:space="preserve"> strain K12, both of which are included in the list so use of the organisms is permitted and there is no need to carry out an additional risk </w:t>
      </w:r>
      <w:r w:rsidR="00520AAD" w:rsidRPr="00D33D50">
        <w:rPr>
          <w:rFonts w:ascii="Tahoma" w:hAnsi="Tahoma" w:cs="Tahoma"/>
          <w:sz w:val="18"/>
          <w:szCs w:val="18"/>
          <w:lang w:val="en-GB"/>
        </w:rPr>
        <w:t xml:space="preserve">assessment </w:t>
      </w:r>
      <w:r w:rsidR="00D9226D" w:rsidRPr="00C6779F">
        <w:rPr>
          <w:rStyle w:val="EndnoteReference"/>
          <w:rFonts w:ascii="Tahoma" w:hAnsi="Tahoma" w:cs="Tahoma"/>
          <w:sz w:val="18"/>
          <w:szCs w:val="18"/>
          <w:lang w:val="en-GB"/>
        </w:rPr>
        <w:t xml:space="preserve"> </w:t>
      </w:r>
      <w:r w:rsidR="00D33D50" w:rsidRPr="00D33D50">
        <w:rPr>
          <w:rFonts w:ascii="Tahoma" w:hAnsi="Tahoma" w:cs="Tahoma"/>
          <w:sz w:val="18"/>
          <w:szCs w:val="18"/>
          <w:lang w:val="en-GB"/>
        </w:rPr>
        <w:t>[5].</w:t>
      </w:r>
    </w:p>
    <w:p w:rsidR="006F245D" w:rsidRPr="003115F2" w:rsidRDefault="006F245D" w:rsidP="003115F2">
      <w:pPr>
        <w:pStyle w:val="ListParagraph"/>
        <w:ind w:left="426"/>
        <w:rPr>
          <w:rFonts w:ascii="Tahoma" w:hAnsi="Tahoma" w:cs="Tahoma"/>
          <w:sz w:val="18"/>
          <w:szCs w:val="18"/>
          <w:lang w:val="en-GB"/>
        </w:rPr>
      </w:pPr>
    </w:p>
    <w:p w:rsidR="005F1D12" w:rsidRDefault="005F1D12" w:rsidP="00520AAD">
      <w:pPr>
        <w:pStyle w:val="ListParagraph"/>
        <w:ind w:left="426"/>
        <w:rPr>
          <w:rFonts w:ascii="Tahoma" w:hAnsi="Tahoma" w:cs="Tahoma"/>
          <w:sz w:val="18"/>
          <w:szCs w:val="18"/>
          <w:lang w:val="en-GB"/>
        </w:rPr>
      </w:pPr>
    </w:p>
    <w:p w:rsidR="005F1D12" w:rsidRDefault="005F1D12" w:rsidP="00520AAD">
      <w:pPr>
        <w:pStyle w:val="ListParagraph"/>
        <w:ind w:left="426"/>
        <w:rPr>
          <w:rFonts w:ascii="Tahoma" w:hAnsi="Tahoma" w:cs="Tahoma"/>
          <w:sz w:val="18"/>
          <w:szCs w:val="18"/>
          <w:lang w:val="en-GB"/>
        </w:rPr>
      </w:pPr>
    </w:p>
    <w:p w:rsidR="006F245D" w:rsidRDefault="006F245D" w:rsidP="00520AAD">
      <w:pPr>
        <w:pStyle w:val="ListParagraph"/>
        <w:ind w:left="426"/>
        <w:rPr>
          <w:rFonts w:ascii="Tahoma" w:hAnsi="Tahoma" w:cs="Tahoma"/>
          <w:sz w:val="18"/>
          <w:szCs w:val="18"/>
          <w:lang w:val="en-GB"/>
        </w:rPr>
      </w:pPr>
      <w:r>
        <w:rPr>
          <w:rFonts w:ascii="Tahoma" w:hAnsi="Tahoma" w:cs="Tahoma"/>
          <w:sz w:val="18"/>
          <w:szCs w:val="18"/>
          <w:lang w:val="en-GB"/>
        </w:rPr>
        <w:t>Growth media incorporating antibiotics ar</w:t>
      </w:r>
      <w:r w:rsidR="005426DF">
        <w:rPr>
          <w:rFonts w:ascii="Tahoma" w:hAnsi="Tahoma" w:cs="Tahoma"/>
          <w:sz w:val="18"/>
          <w:szCs w:val="18"/>
          <w:lang w:val="en-GB"/>
        </w:rPr>
        <w:t>e required.  This is contrary</w:t>
      </w:r>
      <w:r>
        <w:rPr>
          <w:rFonts w:ascii="Tahoma" w:hAnsi="Tahoma" w:cs="Tahoma"/>
          <w:sz w:val="18"/>
          <w:szCs w:val="18"/>
          <w:lang w:val="en-GB"/>
        </w:rPr>
        <w:t xml:space="preserve"> to the guidance provided in </w:t>
      </w:r>
      <w:r w:rsidRPr="003115F2">
        <w:rPr>
          <w:rFonts w:ascii="Tahoma" w:hAnsi="Tahoma" w:cs="Tahoma"/>
          <w:sz w:val="18"/>
          <w:szCs w:val="18"/>
          <w:lang w:val="en-GB"/>
        </w:rPr>
        <w:t>Section</w:t>
      </w:r>
      <w:r>
        <w:rPr>
          <w:rFonts w:ascii="Tahoma" w:hAnsi="Tahoma" w:cs="Tahoma"/>
          <w:sz w:val="18"/>
          <w:szCs w:val="18"/>
          <w:lang w:val="en-GB"/>
        </w:rPr>
        <w:t> </w:t>
      </w:r>
      <w:r w:rsidRPr="003115F2">
        <w:rPr>
          <w:rFonts w:ascii="Tahoma" w:hAnsi="Tahoma" w:cs="Tahoma"/>
          <w:sz w:val="18"/>
          <w:szCs w:val="18"/>
          <w:lang w:val="en-GB"/>
        </w:rPr>
        <w:t xml:space="preserve">4.32 of the </w:t>
      </w:r>
      <w:proofErr w:type="spellStart"/>
      <w:r w:rsidRPr="00CB3DA9">
        <w:rPr>
          <w:rFonts w:ascii="Tahoma" w:hAnsi="Tahoma" w:cs="Tahoma"/>
          <w:i/>
          <w:sz w:val="18"/>
          <w:szCs w:val="18"/>
          <w:lang w:val="en-GB"/>
        </w:rPr>
        <w:t>CoP</w:t>
      </w:r>
      <w:proofErr w:type="spellEnd"/>
      <w:r w:rsidRPr="003115F2">
        <w:rPr>
          <w:rFonts w:ascii="Tahoma" w:hAnsi="Tahoma" w:cs="Tahoma"/>
          <w:sz w:val="18"/>
          <w:szCs w:val="18"/>
          <w:lang w:val="en-GB"/>
        </w:rPr>
        <w:t xml:space="preserve"> </w:t>
      </w:r>
      <w:r>
        <w:rPr>
          <w:rFonts w:ascii="Tahoma" w:hAnsi="Tahoma" w:cs="Tahoma"/>
          <w:sz w:val="18"/>
          <w:szCs w:val="18"/>
          <w:lang w:val="en-GB"/>
        </w:rPr>
        <w:t xml:space="preserve">which </w:t>
      </w:r>
      <w:r w:rsidRPr="003115F2">
        <w:rPr>
          <w:rFonts w:ascii="Tahoma" w:hAnsi="Tahoma" w:cs="Tahoma"/>
          <w:sz w:val="18"/>
          <w:szCs w:val="18"/>
          <w:lang w:val="en-GB"/>
        </w:rPr>
        <w:t xml:space="preserve">states that </w:t>
      </w:r>
      <w:r>
        <w:rPr>
          <w:rFonts w:ascii="Tahoma" w:hAnsi="Tahoma" w:cs="Tahoma"/>
          <w:sz w:val="18"/>
          <w:szCs w:val="18"/>
          <w:lang w:val="en-GB"/>
        </w:rPr>
        <w:t>‘</w:t>
      </w:r>
      <w:r w:rsidRPr="00C04361">
        <w:rPr>
          <w:rFonts w:ascii="Tahoma" w:hAnsi="Tahoma" w:cs="Tahoma"/>
          <w:i/>
          <w:sz w:val="18"/>
          <w:szCs w:val="18"/>
          <w:lang w:val="en-GB"/>
        </w:rPr>
        <w:t>antibiotics should not normally be incorporated into growth media’</w:t>
      </w:r>
      <w:r w:rsidRPr="003115F2">
        <w:rPr>
          <w:rFonts w:ascii="Tahoma" w:hAnsi="Tahoma" w:cs="Tahoma"/>
          <w:sz w:val="18"/>
          <w:szCs w:val="18"/>
          <w:lang w:val="en-GB"/>
        </w:rPr>
        <w:t xml:space="preserve">.  </w:t>
      </w:r>
      <w:r>
        <w:rPr>
          <w:rFonts w:ascii="Tahoma" w:hAnsi="Tahoma" w:cs="Tahoma"/>
          <w:sz w:val="18"/>
          <w:szCs w:val="18"/>
          <w:lang w:val="en-GB"/>
        </w:rPr>
        <w:t xml:space="preserve">In the case of X-Bacteria </w:t>
      </w:r>
      <w:r w:rsidRPr="003115F2">
        <w:rPr>
          <w:rFonts w:ascii="Tahoma" w:hAnsi="Tahoma" w:cs="Tahoma"/>
          <w:sz w:val="18"/>
          <w:szCs w:val="18"/>
          <w:lang w:val="en-GB"/>
        </w:rPr>
        <w:t xml:space="preserve">(as </w:t>
      </w:r>
      <w:r>
        <w:rPr>
          <w:rFonts w:ascii="Tahoma" w:hAnsi="Tahoma" w:cs="Tahoma"/>
          <w:sz w:val="18"/>
          <w:szCs w:val="18"/>
          <w:lang w:val="en-GB"/>
        </w:rPr>
        <w:t>is</w:t>
      </w:r>
      <w:r w:rsidRPr="003115F2">
        <w:rPr>
          <w:rFonts w:ascii="Tahoma" w:hAnsi="Tahoma" w:cs="Tahoma"/>
          <w:sz w:val="18"/>
          <w:szCs w:val="18"/>
          <w:lang w:val="en-GB"/>
        </w:rPr>
        <w:t xml:space="preserve"> also </w:t>
      </w:r>
      <w:r>
        <w:rPr>
          <w:rFonts w:ascii="Tahoma" w:hAnsi="Tahoma" w:cs="Tahoma"/>
          <w:sz w:val="18"/>
          <w:szCs w:val="18"/>
          <w:lang w:val="en-GB"/>
        </w:rPr>
        <w:t>the case</w:t>
      </w:r>
      <w:r w:rsidRPr="003115F2">
        <w:rPr>
          <w:rFonts w:ascii="Tahoma" w:hAnsi="Tahoma" w:cs="Tahoma"/>
          <w:sz w:val="18"/>
          <w:szCs w:val="18"/>
          <w:lang w:val="en-GB"/>
        </w:rPr>
        <w:t xml:space="preserve"> for a number of commercial</w:t>
      </w:r>
      <w:r>
        <w:rPr>
          <w:rFonts w:ascii="Tahoma" w:hAnsi="Tahoma" w:cs="Tahoma"/>
          <w:sz w:val="18"/>
          <w:szCs w:val="18"/>
          <w:lang w:val="en-GB"/>
        </w:rPr>
        <w:t>ly available</w:t>
      </w:r>
      <w:r w:rsidRPr="003115F2">
        <w:rPr>
          <w:rFonts w:ascii="Tahoma" w:hAnsi="Tahoma" w:cs="Tahoma"/>
          <w:sz w:val="18"/>
          <w:szCs w:val="18"/>
          <w:lang w:val="en-GB"/>
        </w:rPr>
        <w:t xml:space="preserve"> bacterial transformation kits)</w:t>
      </w:r>
      <w:r>
        <w:rPr>
          <w:rFonts w:ascii="Tahoma" w:hAnsi="Tahoma" w:cs="Tahoma"/>
          <w:sz w:val="18"/>
          <w:szCs w:val="18"/>
          <w:lang w:val="en-GB"/>
        </w:rPr>
        <w:t xml:space="preserve">, </w:t>
      </w:r>
      <w:r w:rsidRPr="003115F2">
        <w:rPr>
          <w:rFonts w:ascii="Tahoma" w:hAnsi="Tahoma" w:cs="Tahoma"/>
          <w:sz w:val="18"/>
          <w:szCs w:val="18"/>
          <w:lang w:val="en-GB"/>
        </w:rPr>
        <w:t xml:space="preserve">relaxation of this section can be </w:t>
      </w:r>
      <w:r w:rsidR="00520AAD" w:rsidRPr="003115F2">
        <w:rPr>
          <w:rFonts w:ascii="Tahoma" w:hAnsi="Tahoma" w:cs="Tahoma"/>
          <w:sz w:val="18"/>
          <w:szCs w:val="18"/>
          <w:lang w:val="en-GB"/>
        </w:rPr>
        <w:t xml:space="preserve">applied </w:t>
      </w:r>
      <w:r w:rsidR="00520AAD">
        <w:rPr>
          <w:rFonts w:ascii="Tahoma" w:hAnsi="Tahoma" w:cs="Tahoma"/>
          <w:sz w:val="18"/>
          <w:szCs w:val="18"/>
          <w:lang w:val="en-GB"/>
        </w:rPr>
        <w:t>providing</w:t>
      </w:r>
      <w:r>
        <w:rPr>
          <w:rFonts w:ascii="Tahoma" w:hAnsi="Tahoma" w:cs="Tahoma"/>
          <w:sz w:val="18"/>
          <w:szCs w:val="18"/>
          <w:lang w:val="en-GB"/>
        </w:rPr>
        <w:t xml:space="preserve"> that: </w:t>
      </w:r>
    </w:p>
    <w:p w:rsidR="006F245D" w:rsidRPr="00F9290E" w:rsidRDefault="006F245D" w:rsidP="00F9290E">
      <w:pPr>
        <w:pStyle w:val="ListParagraph"/>
        <w:rPr>
          <w:rFonts w:ascii="Tahoma" w:hAnsi="Tahoma" w:cs="Tahoma"/>
          <w:i/>
          <w:sz w:val="18"/>
          <w:szCs w:val="18"/>
          <w:lang w:val="en-GB"/>
        </w:rPr>
      </w:pPr>
    </w:p>
    <w:p w:rsidR="006F245D" w:rsidRPr="002775C0" w:rsidRDefault="006F245D" w:rsidP="002775C0">
      <w:pPr>
        <w:pStyle w:val="ListParagraph"/>
        <w:numPr>
          <w:ilvl w:val="1"/>
          <w:numId w:val="2"/>
        </w:numPr>
        <w:ind w:left="851" w:hanging="425"/>
        <w:rPr>
          <w:rFonts w:ascii="Tahoma" w:hAnsi="Tahoma" w:cs="Tahoma"/>
          <w:sz w:val="18"/>
          <w:szCs w:val="18"/>
          <w:lang w:val="en-GB"/>
        </w:rPr>
      </w:pPr>
      <w:r w:rsidRPr="002775C0">
        <w:rPr>
          <w:rFonts w:ascii="Tahoma" w:hAnsi="Tahoma" w:cs="Tahoma"/>
          <w:sz w:val="18"/>
          <w:szCs w:val="18"/>
          <w:lang w:val="en-GB"/>
        </w:rPr>
        <w:t>appropriate P</w:t>
      </w:r>
      <w:r>
        <w:rPr>
          <w:rFonts w:ascii="Tahoma" w:hAnsi="Tahoma" w:cs="Tahoma"/>
          <w:sz w:val="18"/>
          <w:szCs w:val="18"/>
          <w:lang w:val="en-GB"/>
        </w:rPr>
        <w:t xml:space="preserve">ersonal </w:t>
      </w:r>
      <w:r w:rsidRPr="002775C0">
        <w:rPr>
          <w:rFonts w:ascii="Tahoma" w:hAnsi="Tahoma" w:cs="Tahoma"/>
          <w:sz w:val="18"/>
          <w:szCs w:val="18"/>
          <w:lang w:val="en-GB"/>
        </w:rPr>
        <w:t>P</w:t>
      </w:r>
      <w:r>
        <w:rPr>
          <w:rFonts w:ascii="Tahoma" w:hAnsi="Tahoma" w:cs="Tahoma"/>
          <w:sz w:val="18"/>
          <w:szCs w:val="18"/>
          <w:lang w:val="en-GB"/>
        </w:rPr>
        <w:t xml:space="preserve">rotective </w:t>
      </w:r>
      <w:r w:rsidRPr="002775C0">
        <w:rPr>
          <w:rFonts w:ascii="Tahoma" w:hAnsi="Tahoma" w:cs="Tahoma"/>
          <w:sz w:val="18"/>
          <w:szCs w:val="18"/>
          <w:lang w:val="en-GB"/>
        </w:rPr>
        <w:t>E</w:t>
      </w:r>
      <w:r>
        <w:rPr>
          <w:rFonts w:ascii="Tahoma" w:hAnsi="Tahoma" w:cs="Tahoma"/>
          <w:sz w:val="18"/>
          <w:szCs w:val="18"/>
          <w:lang w:val="en-GB"/>
        </w:rPr>
        <w:t>quipment</w:t>
      </w:r>
      <w:r w:rsidRPr="002775C0">
        <w:rPr>
          <w:rFonts w:ascii="Tahoma" w:hAnsi="Tahoma" w:cs="Tahoma"/>
          <w:sz w:val="18"/>
          <w:szCs w:val="18"/>
          <w:lang w:val="en-GB"/>
        </w:rPr>
        <w:t xml:space="preserve"> is worn when making up the </w:t>
      </w:r>
      <w:r>
        <w:rPr>
          <w:rFonts w:ascii="Tahoma" w:hAnsi="Tahoma" w:cs="Tahoma"/>
          <w:sz w:val="18"/>
          <w:szCs w:val="18"/>
          <w:lang w:val="en-GB"/>
        </w:rPr>
        <w:t>antibiotics</w:t>
      </w:r>
    </w:p>
    <w:p w:rsidR="006F245D" w:rsidRPr="002775C0" w:rsidRDefault="006F245D" w:rsidP="002775C0">
      <w:pPr>
        <w:pStyle w:val="ListParagraph"/>
        <w:numPr>
          <w:ilvl w:val="1"/>
          <w:numId w:val="2"/>
        </w:numPr>
        <w:ind w:left="851" w:hanging="425"/>
        <w:rPr>
          <w:rFonts w:ascii="Tahoma" w:hAnsi="Tahoma" w:cs="Tahoma"/>
          <w:sz w:val="18"/>
          <w:szCs w:val="18"/>
          <w:lang w:val="en-GB"/>
        </w:rPr>
      </w:pPr>
      <w:r w:rsidRPr="002775C0">
        <w:rPr>
          <w:rFonts w:ascii="Tahoma" w:hAnsi="Tahoma" w:cs="Tahoma"/>
          <w:sz w:val="18"/>
          <w:szCs w:val="18"/>
          <w:lang w:val="en-GB"/>
        </w:rPr>
        <w:t xml:space="preserve">preparation of the antibiotic for incorporation in plates is carried out in a </w:t>
      </w:r>
      <w:r>
        <w:rPr>
          <w:rFonts w:ascii="Tahoma" w:hAnsi="Tahoma" w:cs="Tahoma"/>
          <w:sz w:val="18"/>
          <w:szCs w:val="18"/>
          <w:lang w:val="en-GB"/>
        </w:rPr>
        <w:t xml:space="preserve">fully functional, approved </w:t>
      </w:r>
      <w:r w:rsidRPr="002775C0">
        <w:rPr>
          <w:rFonts w:ascii="Tahoma" w:hAnsi="Tahoma" w:cs="Tahoma"/>
          <w:sz w:val="18"/>
          <w:szCs w:val="18"/>
          <w:lang w:val="en-GB"/>
        </w:rPr>
        <w:t>fume hood</w:t>
      </w:r>
    </w:p>
    <w:p w:rsidR="006F245D" w:rsidRDefault="00690C8A" w:rsidP="002775C0">
      <w:pPr>
        <w:pStyle w:val="ListParagraph"/>
        <w:numPr>
          <w:ilvl w:val="1"/>
          <w:numId w:val="2"/>
        </w:numPr>
        <w:ind w:left="851" w:hanging="425"/>
        <w:rPr>
          <w:rFonts w:ascii="Tahoma" w:hAnsi="Tahoma" w:cs="Tahoma"/>
          <w:sz w:val="18"/>
          <w:szCs w:val="18"/>
          <w:lang w:val="en-GB"/>
        </w:rPr>
      </w:pPr>
      <w:r>
        <w:rPr>
          <w:rFonts w:ascii="Tahoma" w:hAnsi="Tahoma" w:cs="Tahoma"/>
          <w:noProof/>
          <w:sz w:val="18"/>
          <w:szCs w:val="18"/>
          <w:lang w:val="en-GB" w:eastAsia="en-GB"/>
        </w:rPr>
        <w:drawing>
          <wp:anchor distT="0" distB="0" distL="114300" distR="114300" simplePos="0" relativeHeight="251658240" behindDoc="0" locked="0" layoutInCell="1" allowOverlap="1">
            <wp:simplePos x="0" y="0"/>
            <wp:positionH relativeFrom="margin">
              <wp:posOffset>3041650</wp:posOffset>
            </wp:positionH>
            <wp:positionV relativeFrom="margin">
              <wp:posOffset>5943600</wp:posOffset>
            </wp:positionV>
            <wp:extent cx="2940050" cy="1289050"/>
            <wp:effectExtent l="19050" t="0" r="0" b="0"/>
            <wp:wrapSquare wrapText="bothSides"/>
            <wp:docPr id="2" name="Picture 2" descr="X-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acteria.jpg"/>
                    <pic:cNvPicPr>
                      <a:picLocks noChangeAspect="1" noChangeArrowheads="1"/>
                    </pic:cNvPicPr>
                  </pic:nvPicPr>
                  <pic:blipFill>
                    <a:blip r:embed="rId11" cstate="print"/>
                    <a:srcRect/>
                    <a:stretch>
                      <a:fillRect/>
                    </a:stretch>
                  </pic:blipFill>
                  <pic:spPr bwMode="auto">
                    <a:xfrm>
                      <a:off x="0" y="0"/>
                      <a:ext cx="2940050" cy="1289050"/>
                    </a:xfrm>
                    <a:prstGeom prst="rect">
                      <a:avLst/>
                    </a:prstGeom>
                    <a:noFill/>
                  </pic:spPr>
                </pic:pic>
              </a:graphicData>
            </a:graphic>
          </wp:anchor>
        </w:drawing>
      </w:r>
      <w:proofErr w:type="gramStart"/>
      <w:r w:rsidR="006F245D" w:rsidRPr="002775C0">
        <w:rPr>
          <w:rFonts w:ascii="Tahoma" w:hAnsi="Tahoma" w:cs="Tahoma"/>
          <w:sz w:val="18"/>
          <w:szCs w:val="18"/>
          <w:lang w:val="en-GB"/>
        </w:rPr>
        <w:t>the</w:t>
      </w:r>
      <w:proofErr w:type="gramEnd"/>
      <w:r w:rsidR="006F245D" w:rsidRPr="002775C0">
        <w:rPr>
          <w:rFonts w:ascii="Tahoma" w:hAnsi="Tahoma" w:cs="Tahoma"/>
          <w:sz w:val="18"/>
          <w:szCs w:val="18"/>
          <w:lang w:val="en-GB"/>
        </w:rPr>
        <w:t xml:space="preserve"> guidance in the X-Bacteria manual</w:t>
      </w:r>
      <w:r w:rsidR="00D9226D">
        <w:rPr>
          <w:rStyle w:val="EndnoteReference"/>
          <w:rFonts w:ascii="Tahoma" w:hAnsi="Tahoma" w:cs="Tahoma"/>
          <w:sz w:val="18"/>
          <w:szCs w:val="18"/>
          <w:lang w:val="en-GB"/>
        </w:rPr>
        <w:t xml:space="preserve"> </w:t>
      </w:r>
      <w:r w:rsidR="00D9226D">
        <w:rPr>
          <w:rFonts w:ascii="Tahoma" w:hAnsi="Tahoma" w:cs="Tahoma"/>
          <w:sz w:val="18"/>
          <w:szCs w:val="18"/>
          <w:lang w:val="en-GB"/>
        </w:rPr>
        <w:t>[6]</w:t>
      </w:r>
      <w:r w:rsidR="00D9226D" w:rsidRPr="002775C0">
        <w:rPr>
          <w:rFonts w:ascii="Tahoma" w:hAnsi="Tahoma" w:cs="Tahoma"/>
          <w:sz w:val="18"/>
          <w:szCs w:val="18"/>
          <w:lang w:val="en-GB"/>
        </w:rPr>
        <w:t xml:space="preserve"> </w:t>
      </w:r>
      <w:r w:rsidR="006F245D" w:rsidRPr="002775C0">
        <w:rPr>
          <w:rFonts w:ascii="Tahoma" w:hAnsi="Tahoma" w:cs="Tahoma"/>
          <w:sz w:val="18"/>
          <w:szCs w:val="18"/>
          <w:lang w:val="en-GB"/>
        </w:rPr>
        <w:t xml:space="preserve">is followed closely with respect to </w:t>
      </w:r>
      <w:r w:rsidR="006F245D">
        <w:rPr>
          <w:rFonts w:ascii="Tahoma" w:hAnsi="Tahoma" w:cs="Tahoma"/>
          <w:sz w:val="18"/>
          <w:szCs w:val="18"/>
          <w:lang w:val="en-GB"/>
        </w:rPr>
        <w:t xml:space="preserve">the technique for </w:t>
      </w:r>
      <w:r w:rsidR="006F245D" w:rsidRPr="002775C0">
        <w:rPr>
          <w:rFonts w:ascii="Tahoma" w:hAnsi="Tahoma" w:cs="Tahoma"/>
          <w:sz w:val="18"/>
          <w:szCs w:val="18"/>
          <w:lang w:val="en-GB"/>
        </w:rPr>
        <w:t>dissolving the powdered antibiotic and preparing the plates</w:t>
      </w:r>
      <w:r w:rsidR="006F245D">
        <w:rPr>
          <w:rFonts w:ascii="Tahoma" w:hAnsi="Tahoma" w:cs="Tahoma"/>
          <w:sz w:val="18"/>
          <w:szCs w:val="18"/>
          <w:lang w:val="en-GB"/>
        </w:rPr>
        <w:t>.</w:t>
      </w:r>
    </w:p>
    <w:p w:rsidR="006F245D" w:rsidRDefault="006F245D" w:rsidP="00C04361">
      <w:pPr>
        <w:rPr>
          <w:rFonts w:ascii="Tahoma" w:hAnsi="Tahoma" w:cs="Tahoma"/>
          <w:sz w:val="18"/>
          <w:szCs w:val="18"/>
          <w:lang w:val="en-GB"/>
        </w:rPr>
      </w:pPr>
      <w:r>
        <w:rPr>
          <w:rFonts w:ascii="Tahoma" w:hAnsi="Tahoma" w:cs="Tahoma"/>
          <w:sz w:val="18"/>
          <w:szCs w:val="18"/>
          <w:lang w:val="en-GB"/>
        </w:rPr>
        <w:t>This interesting, relevant and reliable practical allows young people to investigate the horizontal spread of antibiotic resistance between bacteria and to consider the resulting selective advantages conferred to following generations in vertical transfer. There is then significant scope for consideration of the threat to health of this modern, rapid example of evolution.</w:t>
      </w:r>
    </w:p>
    <w:p w:rsidR="00C6779F" w:rsidRDefault="00C6779F" w:rsidP="00C04361">
      <w:pPr>
        <w:rPr>
          <w:rFonts w:ascii="Tahoma" w:hAnsi="Tahoma" w:cs="Tahoma"/>
          <w:sz w:val="18"/>
          <w:szCs w:val="18"/>
          <w:lang w:val="en-GB"/>
        </w:rPr>
      </w:pPr>
    </w:p>
    <w:p w:rsidR="009575A8" w:rsidRDefault="006F245D" w:rsidP="00F76BFF">
      <w:pPr>
        <w:rPr>
          <w:rFonts w:ascii="Tahoma" w:hAnsi="Tahoma" w:cs="Tahoma"/>
          <w:sz w:val="18"/>
          <w:szCs w:val="18"/>
          <w:lang w:val="en-GB"/>
        </w:rPr>
      </w:pPr>
      <w:r>
        <w:rPr>
          <w:rFonts w:ascii="Tahoma" w:hAnsi="Tahoma" w:cs="Tahoma"/>
          <w:sz w:val="18"/>
          <w:szCs w:val="18"/>
          <w:lang w:val="en-GB"/>
        </w:rPr>
        <w:lastRenderedPageBreak/>
        <w:t xml:space="preserve">Note: in addition to the above, it is essential that good microbiological practice is observed throughout.  (See </w:t>
      </w:r>
      <w:r w:rsidR="00D33D50" w:rsidRPr="00D33D50">
        <w:rPr>
          <w:rFonts w:ascii="Tahoma" w:hAnsi="Tahoma" w:cs="Tahoma"/>
          <w:i/>
          <w:sz w:val="18"/>
          <w:szCs w:val="18"/>
          <w:lang w:val="en-GB"/>
        </w:rPr>
        <w:t>Code of Practice</w:t>
      </w:r>
      <w:r>
        <w:rPr>
          <w:rFonts w:ascii="Tahoma" w:hAnsi="Tahoma" w:cs="Tahoma"/>
          <w:sz w:val="18"/>
          <w:szCs w:val="18"/>
          <w:lang w:val="en-GB"/>
        </w:rPr>
        <w:t xml:space="preserve"> and </w:t>
      </w:r>
      <w:r w:rsidR="00D33D50" w:rsidRPr="00D33D50">
        <w:rPr>
          <w:rFonts w:ascii="Tahoma" w:hAnsi="Tahoma" w:cs="Tahoma"/>
          <w:i/>
          <w:sz w:val="18"/>
          <w:szCs w:val="18"/>
          <w:lang w:val="en-GB"/>
        </w:rPr>
        <w:t xml:space="preserve">Microbiological Techniques </w:t>
      </w:r>
      <w:proofErr w:type="gramStart"/>
      <w:r w:rsidR="00D33D50" w:rsidRPr="00D33D50">
        <w:rPr>
          <w:rFonts w:ascii="Tahoma" w:hAnsi="Tahoma" w:cs="Tahoma"/>
          <w:i/>
          <w:sz w:val="18"/>
          <w:szCs w:val="18"/>
          <w:lang w:val="en-GB"/>
        </w:rPr>
        <w:t>Cards</w:t>
      </w:r>
      <w:proofErr w:type="gramEnd"/>
      <w:r w:rsidR="00D9226D">
        <w:rPr>
          <w:rStyle w:val="EndnoteReference"/>
          <w:rFonts w:ascii="Tahoma" w:hAnsi="Tahoma" w:cs="Tahoma"/>
          <w:sz w:val="18"/>
          <w:szCs w:val="18"/>
          <w:lang w:val="en-GB"/>
        </w:rPr>
        <w:t xml:space="preserve"> </w:t>
      </w:r>
      <w:r w:rsidR="00D9226D">
        <w:rPr>
          <w:rFonts w:ascii="Tahoma" w:hAnsi="Tahoma" w:cs="Tahoma"/>
          <w:sz w:val="18"/>
          <w:szCs w:val="18"/>
          <w:lang w:val="en-GB"/>
        </w:rPr>
        <w:t>[7])</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1. </w:t>
      </w:r>
      <w:hyperlink r:id="rId12" w:history="1">
        <w:r w:rsidRPr="005E5210">
          <w:rPr>
            <w:rStyle w:val="Hyperlink"/>
            <w:rFonts w:ascii="Tahoma" w:hAnsi="Tahoma" w:cs="Tahoma"/>
            <w:sz w:val="18"/>
            <w:szCs w:val="18"/>
          </w:rPr>
          <w:t>http://survivalrivals.org/the-x-bacteria/about</w:t>
        </w:r>
      </w:hyperlink>
      <w:r w:rsidRPr="005E5210">
        <w:rPr>
          <w:rFonts w:ascii="Tahoma" w:hAnsi="Tahoma" w:cs="Tahoma"/>
          <w:sz w:val="18"/>
          <w:szCs w:val="18"/>
        </w:rPr>
        <w:t xml:space="preserve"> (accessed 28th July 2009)</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2. </w:t>
      </w:r>
      <w:hyperlink r:id="rId13" w:history="1">
        <w:r w:rsidRPr="005E5210">
          <w:rPr>
            <w:rStyle w:val="Hyperlink"/>
            <w:rFonts w:ascii="Tahoma" w:hAnsi="Tahoma" w:cs="Tahoma"/>
            <w:sz w:val="18"/>
            <w:szCs w:val="18"/>
          </w:rPr>
          <w:t>http://survivalrivals.org/</w:t>
        </w:r>
      </w:hyperlink>
      <w:r w:rsidRPr="005E5210">
        <w:rPr>
          <w:rFonts w:ascii="Tahoma" w:hAnsi="Tahoma" w:cs="Tahoma"/>
          <w:sz w:val="18"/>
          <w:szCs w:val="18"/>
        </w:rPr>
        <w:t xml:space="preserve"> (accessed 28</w:t>
      </w:r>
      <w:r w:rsidRPr="005E5210">
        <w:rPr>
          <w:rFonts w:ascii="Tahoma" w:hAnsi="Tahoma" w:cs="Tahoma"/>
          <w:sz w:val="18"/>
          <w:szCs w:val="18"/>
          <w:vertAlign w:val="superscript"/>
        </w:rPr>
        <w:t>th</w:t>
      </w:r>
      <w:r w:rsidRPr="005E5210">
        <w:rPr>
          <w:rFonts w:ascii="Tahoma" w:hAnsi="Tahoma" w:cs="Tahoma"/>
          <w:sz w:val="18"/>
          <w:szCs w:val="18"/>
        </w:rPr>
        <w:t xml:space="preserve"> July 2009)</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3. </w:t>
      </w:r>
      <w:hyperlink r:id="rId14" w:history="1">
        <w:r w:rsidRPr="005E5210">
          <w:rPr>
            <w:rStyle w:val="Hyperlink"/>
            <w:rFonts w:ascii="Tahoma" w:hAnsi="Tahoma" w:cs="Tahoma"/>
            <w:sz w:val="18"/>
            <w:szCs w:val="18"/>
          </w:rPr>
          <w:t>http://www.sserc.org.uk/members/SafetyNet/Microbio2/Main_Menu.HTM</w:t>
        </w:r>
      </w:hyperlink>
      <w:r w:rsidRPr="005E5210">
        <w:rPr>
          <w:rFonts w:ascii="Tahoma" w:hAnsi="Tahoma" w:cs="Tahoma"/>
          <w:sz w:val="18"/>
          <w:szCs w:val="18"/>
        </w:rPr>
        <w:t xml:space="preserve"> (accessed 28th July 2009)</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4. </w:t>
      </w:r>
      <w:hyperlink r:id="rId15" w:history="1">
        <w:r w:rsidRPr="005E5210">
          <w:rPr>
            <w:rStyle w:val="Hyperlink"/>
            <w:rFonts w:ascii="Tahoma" w:hAnsi="Tahoma" w:cs="Tahoma"/>
            <w:sz w:val="18"/>
            <w:szCs w:val="18"/>
          </w:rPr>
          <w:t>http://www.sserc.org.uk/members/SafetyNet/Microbio2/MOOS/intro.htm</w:t>
        </w:r>
      </w:hyperlink>
      <w:r w:rsidRPr="005E5210">
        <w:rPr>
          <w:rFonts w:ascii="Tahoma" w:hAnsi="Tahoma" w:cs="Tahoma"/>
          <w:sz w:val="18"/>
          <w:szCs w:val="18"/>
        </w:rPr>
        <w:t xml:space="preserve"> (accessed 28th July 2009)</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5. </w:t>
      </w:r>
      <w:hyperlink r:id="rId16" w:history="1">
        <w:r w:rsidRPr="005E5210">
          <w:rPr>
            <w:rStyle w:val="Hyperlink"/>
            <w:rFonts w:ascii="Tahoma" w:hAnsi="Tahoma" w:cs="Tahoma"/>
            <w:sz w:val="18"/>
            <w:szCs w:val="18"/>
          </w:rPr>
          <w:t>http://survivalrivals.org/content/documents/MicrobiologySafetyDataSheet.pdf</w:t>
        </w:r>
      </w:hyperlink>
      <w:r w:rsidRPr="005E5210">
        <w:rPr>
          <w:rFonts w:ascii="Tahoma" w:hAnsi="Tahoma" w:cs="Tahoma"/>
          <w:sz w:val="18"/>
          <w:szCs w:val="18"/>
        </w:rPr>
        <w:t xml:space="preserve"> (accessed 31st July 2009)</w:t>
      </w:r>
    </w:p>
    <w:p w:rsidR="005E5210" w:rsidRPr="005E5210" w:rsidRDefault="005E5210" w:rsidP="005E5210">
      <w:pPr>
        <w:pStyle w:val="NormalWeb"/>
        <w:rPr>
          <w:rFonts w:ascii="Tahoma" w:hAnsi="Tahoma" w:cs="Tahoma"/>
          <w:sz w:val="18"/>
          <w:szCs w:val="18"/>
        </w:rPr>
      </w:pPr>
      <w:r w:rsidRPr="005E5210">
        <w:rPr>
          <w:rFonts w:ascii="Tahoma" w:hAnsi="Tahoma" w:cs="Tahoma"/>
          <w:sz w:val="18"/>
          <w:szCs w:val="18"/>
        </w:rPr>
        <w:t xml:space="preserve">6. </w:t>
      </w:r>
      <w:hyperlink r:id="rId17" w:history="1">
        <w:r w:rsidRPr="005E5210">
          <w:rPr>
            <w:rStyle w:val="Hyperlink"/>
            <w:rFonts w:ascii="Tahoma" w:hAnsi="Tahoma" w:cs="Tahoma"/>
            <w:sz w:val="18"/>
            <w:szCs w:val="18"/>
          </w:rPr>
          <w:t>http://survivalrivals.org/Content/documents/TheXBacteriaNotebook.pdf</w:t>
        </w:r>
      </w:hyperlink>
      <w:r w:rsidRPr="005E5210">
        <w:rPr>
          <w:rFonts w:ascii="Tahoma" w:hAnsi="Tahoma" w:cs="Tahoma"/>
          <w:sz w:val="18"/>
          <w:szCs w:val="18"/>
        </w:rPr>
        <w:t xml:space="preserve"> (accessed 28th July 2009)</w:t>
      </w:r>
    </w:p>
    <w:p w:rsidR="005E5210" w:rsidRPr="005E5210" w:rsidRDefault="005E5210" w:rsidP="005E5210">
      <w:pPr>
        <w:rPr>
          <w:rFonts w:ascii="Tahoma" w:hAnsi="Tahoma" w:cs="Tahoma"/>
          <w:sz w:val="18"/>
          <w:szCs w:val="18"/>
          <w:lang w:val="en-GB"/>
        </w:rPr>
      </w:pPr>
      <w:r w:rsidRPr="005E5210">
        <w:rPr>
          <w:rFonts w:ascii="Tahoma" w:hAnsi="Tahoma" w:cs="Tahoma"/>
          <w:sz w:val="18"/>
          <w:szCs w:val="18"/>
        </w:rPr>
        <w:t xml:space="preserve">7. </w:t>
      </w:r>
      <w:hyperlink r:id="rId18" w:history="1">
        <w:r w:rsidRPr="005E5210">
          <w:rPr>
            <w:rStyle w:val="Hyperlink"/>
            <w:rFonts w:ascii="Tahoma" w:hAnsi="Tahoma" w:cs="Tahoma"/>
            <w:sz w:val="18"/>
            <w:szCs w:val="18"/>
          </w:rPr>
          <w:t>http://www.sserc.org.uk/members/SafetyNet/Microbio2/Documents/Techniques%20Cards.pdf</w:t>
        </w:r>
      </w:hyperlink>
    </w:p>
    <w:sectPr w:rsidR="005E5210" w:rsidRPr="005E5210" w:rsidSect="008309E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B6" w:rsidRDefault="005B38B6" w:rsidP="00CA4752">
      <w:pPr>
        <w:spacing w:after="0" w:line="240" w:lineRule="auto"/>
      </w:pPr>
      <w:r>
        <w:separator/>
      </w:r>
    </w:p>
  </w:endnote>
  <w:endnote w:type="continuationSeparator" w:id="0">
    <w:p w:rsidR="005B38B6" w:rsidRDefault="005B38B6" w:rsidP="00CA4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B6" w:rsidRDefault="005B38B6" w:rsidP="00CA4752">
      <w:pPr>
        <w:spacing w:after="0" w:line="240" w:lineRule="auto"/>
      </w:pPr>
      <w:r>
        <w:separator/>
      </w:r>
    </w:p>
  </w:footnote>
  <w:footnote w:type="continuationSeparator" w:id="0">
    <w:p w:rsidR="005B38B6" w:rsidRDefault="005B38B6" w:rsidP="00CA4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5374"/>
    <w:multiLevelType w:val="hybridMultilevel"/>
    <w:tmpl w:val="B784E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A5D18"/>
    <w:multiLevelType w:val="hybridMultilevel"/>
    <w:tmpl w:val="717619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76BFF"/>
    <w:rsid w:val="00003AA9"/>
    <w:rsid w:val="00003C10"/>
    <w:rsid w:val="001742F9"/>
    <w:rsid w:val="0018662F"/>
    <w:rsid w:val="002775C0"/>
    <w:rsid w:val="002C16A2"/>
    <w:rsid w:val="003115F2"/>
    <w:rsid w:val="003748EB"/>
    <w:rsid w:val="003F4529"/>
    <w:rsid w:val="00520AAD"/>
    <w:rsid w:val="0052731A"/>
    <w:rsid w:val="005426DF"/>
    <w:rsid w:val="005A469B"/>
    <w:rsid w:val="005B38B6"/>
    <w:rsid w:val="005E0D79"/>
    <w:rsid w:val="005E3452"/>
    <w:rsid w:val="005E5210"/>
    <w:rsid w:val="005F1D12"/>
    <w:rsid w:val="006234A7"/>
    <w:rsid w:val="00645068"/>
    <w:rsid w:val="00690C8A"/>
    <w:rsid w:val="006B5BFD"/>
    <w:rsid w:val="006C299F"/>
    <w:rsid w:val="006D45C9"/>
    <w:rsid w:val="006F245D"/>
    <w:rsid w:val="008309E2"/>
    <w:rsid w:val="00851557"/>
    <w:rsid w:val="009575A8"/>
    <w:rsid w:val="00971449"/>
    <w:rsid w:val="00A67856"/>
    <w:rsid w:val="00AB0786"/>
    <w:rsid w:val="00AC456D"/>
    <w:rsid w:val="00AD46BC"/>
    <w:rsid w:val="00B57684"/>
    <w:rsid w:val="00B9289E"/>
    <w:rsid w:val="00BF6132"/>
    <w:rsid w:val="00C04361"/>
    <w:rsid w:val="00C07B20"/>
    <w:rsid w:val="00C6779F"/>
    <w:rsid w:val="00C87401"/>
    <w:rsid w:val="00CA4752"/>
    <w:rsid w:val="00CB3DA9"/>
    <w:rsid w:val="00D33D50"/>
    <w:rsid w:val="00D9226D"/>
    <w:rsid w:val="00DB012E"/>
    <w:rsid w:val="00DF2B1C"/>
    <w:rsid w:val="00EB243E"/>
    <w:rsid w:val="00EB5DCE"/>
    <w:rsid w:val="00F1313A"/>
    <w:rsid w:val="00F574FC"/>
    <w:rsid w:val="00F65248"/>
    <w:rsid w:val="00F76BFF"/>
    <w:rsid w:val="00F92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E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F2"/>
    <w:pPr>
      <w:ind w:left="720"/>
      <w:contextualSpacing/>
    </w:pPr>
  </w:style>
  <w:style w:type="paragraph" w:styleId="FootnoteText">
    <w:name w:val="footnote text"/>
    <w:basedOn w:val="Normal"/>
    <w:link w:val="FootnoteTextChar"/>
    <w:uiPriority w:val="99"/>
    <w:semiHidden/>
    <w:unhideWhenUsed/>
    <w:rsid w:val="00CA4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752"/>
    <w:rPr>
      <w:sz w:val="20"/>
      <w:szCs w:val="20"/>
    </w:rPr>
  </w:style>
  <w:style w:type="character" w:styleId="FootnoteReference">
    <w:name w:val="footnote reference"/>
    <w:basedOn w:val="DefaultParagraphFont"/>
    <w:uiPriority w:val="99"/>
    <w:semiHidden/>
    <w:unhideWhenUsed/>
    <w:rsid w:val="00CA4752"/>
    <w:rPr>
      <w:vertAlign w:val="superscript"/>
    </w:rPr>
  </w:style>
  <w:style w:type="paragraph" w:styleId="EndnoteText">
    <w:name w:val="endnote text"/>
    <w:basedOn w:val="Normal"/>
    <w:link w:val="EndnoteTextChar"/>
    <w:uiPriority w:val="99"/>
    <w:semiHidden/>
    <w:unhideWhenUsed/>
    <w:rsid w:val="00CA47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4752"/>
    <w:rPr>
      <w:sz w:val="20"/>
      <w:szCs w:val="20"/>
    </w:rPr>
  </w:style>
  <w:style w:type="character" w:styleId="EndnoteReference">
    <w:name w:val="endnote reference"/>
    <w:basedOn w:val="DefaultParagraphFont"/>
    <w:uiPriority w:val="99"/>
    <w:semiHidden/>
    <w:unhideWhenUsed/>
    <w:rsid w:val="00CA4752"/>
    <w:rPr>
      <w:vertAlign w:val="superscript"/>
    </w:rPr>
  </w:style>
  <w:style w:type="character" w:styleId="Hyperlink">
    <w:name w:val="Hyperlink"/>
    <w:basedOn w:val="DefaultParagraphFont"/>
    <w:uiPriority w:val="99"/>
    <w:unhideWhenUsed/>
    <w:rsid w:val="009575A8"/>
    <w:rPr>
      <w:color w:val="0000FF"/>
      <w:u w:val="single"/>
    </w:rPr>
  </w:style>
  <w:style w:type="paragraph" w:styleId="Revision">
    <w:name w:val="Revision"/>
    <w:hidden/>
    <w:uiPriority w:val="99"/>
    <w:semiHidden/>
    <w:rsid w:val="00D9226D"/>
    <w:rPr>
      <w:sz w:val="22"/>
      <w:szCs w:val="22"/>
      <w:lang w:val="en-US" w:eastAsia="en-US"/>
    </w:rPr>
  </w:style>
  <w:style w:type="paragraph" w:styleId="BalloonText">
    <w:name w:val="Balloon Text"/>
    <w:basedOn w:val="Normal"/>
    <w:link w:val="BalloonTextChar"/>
    <w:uiPriority w:val="99"/>
    <w:semiHidden/>
    <w:unhideWhenUsed/>
    <w:rsid w:val="00D9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6D"/>
    <w:rPr>
      <w:rFonts w:ascii="Tahoma" w:hAnsi="Tahoma" w:cs="Tahoma"/>
      <w:sz w:val="16"/>
      <w:szCs w:val="16"/>
    </w:rPr>
  </w:style>
  <w:style w:type="paragraph" w:styleId="NormalWeb">
    <w:name w:val="Normal (Web)"/>
    <w:basedOn w:val="Normal"/>
    <w:uiPriority w:val="99"/>
    <w:semiHidden/>
    <w:unhideWhenUsed/>
    <w:rsid w:val="005E52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05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vivalrivals.org/" TargetMode="External"/><Relationship Id="rId18" Type="http://schemas.openxmlformats.org/officeDocument/2006/relationships/hyperlink" Target="http://www.sserc.org.uk/members/SafetyNet/Microbio2/Documents/Techniques%20C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vivalrivals.org/the-x-bacteria/about" TargetMode="External"/><Relationship Id="rId17" Type="http://schemas.openxmlformats.org/officeDocument/2006/relationships/hyperlink" Target="http://survivalrivals.org/Content/documents/TheXBacteriaNotebook.pdf" TargetMode="External"/><Relationship Id="rId2" Type="http://schemas.openxmlformats.org/officeDocument/2006/relationships/numbering" Target="numbering.xml"/><Relationship Id="rId16" Type="http://schemas.openxmlformats.org/officeDocument/2006/relationships/hyperlink" Target="http://survivalrivals.org/content/documents/MicrobiologySafetyDataShe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serc.org.uk/members/SafetyNet/Microbio2/MOOS/intro.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serc.org.uk/members/SafetyNet/Microbio2/Main_Men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447F-997C-4D9B-8656-E1B3F8A2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42" baseType="variant">
      <vt:variant>
        <vt:i4>6946922</vt:i4>
      </vt:variant>
      <vt:variant>
        <vt:i4>18</vt:i4>
      </vt:variant>
      <vt:variant>
        <vt:i4>0</vt:i4>
      </vt:variant>
      <vt:variant>
        <vt:i4>5</vt:i4>
      </vt:variant>
      <vt:variant>
        <vt:lpwstr>http://www.sserc.org.uk/members/SafetyNet/Microbio2/Documents/Techniques Cards.pdf</vt:lpwstr>
      </vt:variant>
      <vt:variant>
        <vt:lpwstr/>
      </vt:variant>
      <vt:variant>
        <vt:i4>4784201</vt:i4>
      </vt:variant>
      <vt:variant>
        <vt:i4>15</vt:i4>
      </vt:variant>
      <vt:variant>
        <vt:i4>0</vt:i4>
      </vt:variant>
      <vt:variant>
        <vt:i4>5</vt:i4>
      </vt:variant>
      <vt:variant>
        <vt:lpwstr>http://survivalrivals.org/Content/documents/TheXBacteriaNotebook.pdf</vt:lpwstr>
      </vt:variant>
      <vt:variant>
        <vt:lpwstr/>
      </vt:variant>
      <vt:variant>
        <vt:i4>8192104</vt:i4>
      </vt:variant>
      <vt:variant>
        <vt:i4>12</vt:i4>
      </vt:variant>
      <vt:variant>
        <vt:i4>0</vt:i4>
      </vt:variant>
      <vt:variant>
        <vt:i4>5</vt:i4>
      </vt:variant>
      <vt:variant>
        <vt:lpwstr>http://survivalrivals.org/content/documents/MicrobiologySafetyDataSheet.pdf</vt:lpwstr>
      </vt:variant>
      <vt:variant>
        <vt:lpwstr/>
      </vt:variant>
      <vt:variant>
        <vt:i4>3342452</vt:i4>
      </vt:variant>
      <vt:variant>
        <vt:i4>9</vt:i4>
      </vt:variant>
      <vt:variant>
        <vt:i4>0</vt:i4>
      </vt:variant>
      <vt:variant>
        <vt:i4>5</vt:i4>
      </vt:variant>
      <vt:variant>
        <vt:lpwstr>http://www.sserc.org.uk/members/SafetyNet/Microbio2/MOOS/intro.htm</vt:lpwstr>
      </vt:variant>
      <vt:variant>
        <vt:lpwstr/>
      </vt:variant>
      <vt:variant>
        <vt:i4>917564</vt:i4>
      </vt:variant>
      <vt:variant>
        <vt:i4>6</vt:i4>
      </vt:variant>
      <vt:variant>
        <vt:i4>0</vt:i4>
      </vt:variant>
      <vt:variant>
        <vt:i4>5</vt:i4>
      </vt:variant>
      <vt:variant>
        <vt:lpwstr>http://www.sserc.org.uk/members/SafetyNet/Microbio2/Main_Menu.HTM</vt:lpwstr>
      </vt:variant>
      <vt:variant>
        <vt:lpwstr/>
      </vt:variant>
      <vt:variant>
        <vt:i4>3735651</vt:i4>
      </vt:variant>
      <vt:variant>
        <vt:i4>3</vt:i4>
      </vt:variant>
      <vt:variant>
        <vt:i4>0</vt:i4>
      </vt:variant>
      <vt:variant>
        <vt:i4>5</vt:i4>
      </vt:variant>
      <vt:variant>
        <vt:lpwstr>http://survivalrivals.org/</vt:lpwstr>
      </vt:variant>
      <vt:variant>
        <vt:lpwstr/>
      </vt:variant>
      <vt:variant>
        <vt:i4>2949183</vt:i4>
      </vt:variant>
      <vt:variant>
        <vt:i4>0</vt:i4>
      </vt:variant>
      <vt:variant>
        <vt:i4>0</vt:i4>
      </vt:variant>
      <vt:variant>
        <vt:i4>5</vt:i4>
      </vt:variant>
      <vt:variant>
        <vt:lpwstr>http://survivalrivals.org/the-x-bacteria/about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dc:creator>
  <cp:keywords/>
  <dc:description/>
  <cp:lastModifiedBy>Kate</cp:lastModifiedBy>
  <cp:revision>2</cp:revision>
  <cp:lastPrinted>2011-05-11T13:51:00Z</cp:lastPrinted>
  <dcterms:created xsi:type="dcterms:W3CDTF">2011-06-10T10:49:00Z</dcterms:created>
  <dcterms:modified xsi:type="dcterms:W3CDTF">2011-06-10T10:49:00Z</dcterms:modified>
</cp:coreProperties>
</file>