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="6505" w:tblpY="4933"/>
        <w:tblW w:w="2588" w:type="pct"/>
        <w:tblBorders>
          <w:top w:val="single" w:sz="36" w:space="0" w:color="00B050"/>
          <w:bottom w:val="single" w:sz="36" w:space="0" w:color="00B050"/>
          <w:insideH w:val="single" w:sz="36" w:space="0" w:color="00B050"/>
          <w:insideV w:val="single" w:sz="36" w:space="0" w:color="C0000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F91F09" w:rsidRPr="00036364" w14:paraId="033A6C7D" w14:textId="77777777" w:rsidTr="0078015E"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0C2504EB" w14:textId="77777777" w:rsidR="00F91F09" w:rsidRPr="00036364" w:rsidRDefault="00F91F09" w:rsidP="0078015E">
            <w:pPr>
              <w:pStyle w:val="NoSpacing"/>
              <w:rPr>
                <w:sz w:val="72"/>
                <w:szCs w:val="72"/>
              </w:rPr>
            </w:pPr>
            <w:r w:rsidRPr="00D73042">
              <w:rPr>
                <w:sz w:val="72"/>
                <w:szCs w:val="72"/>
              </w:rPr>
              <w:t xml:space="preserve">Chemical </w:t>
            </w:r>
            <w:r>
              <w:rPr>
                <w:sz w:val="72"/>
                <w:szCs w:val="72"/>
              </w:rPr>
              <w:t>Investigations</w:t>
            </w:r>
          </w:p>
        </w:tc>
      </w:tr>
      <w:tr w:rsidR="00F91F09" w:rsidRPr="00036364" w14:paraId="5DA5825B" w14:textId="77777777" w:rsidTr="0078015E">
        <w:trPr>
          <w:trHeight w:val="774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7360A4F7" w14:textId="4FD8A419" w:rsidR="00F91F09" w:rsidRPr="00036364" w:rsidRDefault="00F91F09" w:rsidP="0078015E">
            <w:pPr>
              <w:pStyle w:val="NoSpacing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Hydrolysis of ethyl benzoate</w:t>
            </w:r>
          </w:p>
        </w:tc>
      </w:tr>
      <w:tr w:rsidR="00F91F09" w:rsidRPr="00036364" w14:paraId="1890A251" w14:textId="77777777" w:rsidTr="0078015E">
        <w:trPr>
          <w:trHeight w:val="747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3186B9BF" w14:textId="1F438941" w:rsidR="00F91F09" w:rsidRPr="000959EE" w:rsidRDefault="00F91F09" w:rsidP="0078015E">
            <w:pPr>
              <w:pStyle w:val="NoSpacing"/>
              <w:rPr>
                <w:color w:val="595959" w:themeColor="text1" w:themeTint="A6"/>
                <w:sz w:val="52"/>
                <w:szCs w:val="52"/>
              </w:rPr>
            </w:pPr>
            <w:r>
              <w:rPr>
                <w:color w:val="595959" w:themeColor="text1" w:themeTint="A6"/>
                <w:sz w:val="52"/>
                <w:szCs w:val="52"/>
              </w:rPr>
              <w:t>Pupil</w:t>
            </w:r>
            <w:r w:rsidRPr="000959EE">
              <w:rPr>
                <w:color w:val="595959" w:themeColor="text1" w:themeTint="A6"/>
                <w:sz w:val="52"/>
                <w:szCs w:val="52"/>
              </w:rPr>
              <w:t xml:space="preserve"> Guide</w:t>
            </w:r>
          </w:p>
        </w:tc>
      </w:tr>
    </w:tbl>
    <w:p w14:paraId="773D2106" w14:textId="71DCEDC8" w:rsidR="00A10FCA" w:rsidRDefault="00DB3ED1">
      <w:pPr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B4BE0F" wp14:editId="4261EFF7">
            <wp:simplePos x="0" y="0"/>
            <wp:positionH relativeFrom="column">
              <wp:posOffset>-411480</wp:posOffset>
            </wp:positionH>
            <wp:positionV relativeFrom="paragraph">
              <wp:posOffset>2956560</wp:posOffset>
            </wp:positionV>
            <wp:extent cx="3496945" cy="2301240"/>
            <wp:effectExtent l="0" t="0" r="825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861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21D5">
        <w:rPr>
          <w:noProof/>
        </w:rPr>
        <w:drawing>
          <wp:anchor distT="0" distB="0" distL="114300" distR="114300" simplePos="0" relativeHeight="251659264" behindDoc="0" locked="0" layoutInCell="1" allowOverlap="1" wp14:anchorId="1990D690" wp14:editId="45B911A4">
            <wp:simplePos x="0" y="0"/>
            <wp:positionH relativeFrom="column">
              <wp:posOffset>-541020</wp:posOffset>
            </wp:positionH>
            <wp:positionV relativeFrom="paragraph">
              <wp:posOffset>-495300</wp:posOffset>
            </wp:positionV>
            <wp:extent cx="1455420" cy="576583"/>
            <wp:effectExtent l="0" t="0" r="0" b="0"/>
            <wp:wrapNone/>
            <wp:docPr id="2" name="Picture 2" descr="A picture containing roo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FCA">
        <w:br w:type="page"/>
      </w:r>
    </w:p>
    <w:p w14:paraId="331521FE" w14:textId="1721656F" w:rsidR="00693CD2" w:rsidRDefault="006C5EC5" w:rsidP="005256A5">
      <w:pPr>
        <w:pStyle w:val="Title"/>
        <w:spacing w:before="0"/>
      </w:pPr>
      <w:r>
        <w:lastRenderedPageBreak/>
        <w:t>Hydrolysis of ethyl benzoate</w:t>
      </w:r>
    </w:p>
    <w:p w14:paraId="0EECAA15" w14:textId="77777777" w:rsidR="00A10FCA" w:rsidRDefault="00A10FCA" w:rsidP="004538A7">
      <w:pPr>
        <w:spacing w:after="12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5F726B" w14:textId="10FB2CA7" w:rsidR="004538A7" w:rsidRPr="004538A7" w:rsidRDefault="00160FA0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FA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538A7" w:rsidRPr="004538A7">
        <w:rPr>
          <w:rFonts w:ascii="Times New Roman" w:hAnsi="Times New Roman" w:cs="Times New Roman"/>
          <w:b/>
          <w:bCs/>
          <w:sz w:val="24"/>
          <w:szCs w:val="24"/>
        </w:rPr>
        <w:t>ntroduction</w:t>
      </w:r>
    </w:p>
    <w:p w14:paraId="3CB5692F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Benzoic acid can be prepared by the alkaline hydrolysis of the ester, ethyl benzoate:</w:t>
      </w:r>
    </w:p>
    <w:p w14:paraId="24EBCE80" w14:textId="77777777" w:rsidR="007B3C4C" w:rsidRDefault="00251906" w:rsidP="007B3C4C">
      <w:pPr>
        <w:spacing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9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2B8812" wp14:editId="430FD7C1">
            <wp:extent cx="1585097" cy="5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5097" cy="5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6A0DC" w14:textId="2117E04D" w:rsid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If sodium hydroxide is used, then the residual solution will contain sodium benzoate. Insoluble</w:t>
      </w:r>
      <w:r w:rsid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benzoic acid can be displaced from this solution by acidification. It can then be filtered off and</w:t>
      </w:r>
      <w:r w:rsid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 xml:space="preserve">purified by recrystallisation from water. The percentage yield of benzoic acid can be </w:t>
      </w:r>
      <w:proofErr w:type="gramStart"/>
      <w:r w:rsidRPr="004538A7">
        <w:rPr>
          <w:rFonts w:ascii="Times New Roman" w:hAnsi="Times New Roman" w:cs="Times New Roman"/>
          <w:sz w:val="24"/>
          <w:szCs w:val="24"/>
        </w:rPr>
        <w:t>calculated</w:t>
      </w:r>
      <w:proofErr w:type="gramEnd"/>
      <w:r w:rsidRPr="004538A7">
        <w:rPr>
          <w:rFonts w:ascii="Times New Roman" w:hAnsi="Times New Roman" w:cs="Times New Roman"/>
          <w:sz w:val="24"/>
          <w:szCs w:val="24"/>
        </w:rPr>
        <w:t xml:space="preserve"> and</w:t>
      </w:r>
      <w:r w:rsid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its melting point determined.</w:t>
      </w:r>
    </w:p>
    <w:p w14:paraId="4BEA6A7A" w14:textId="77777777" w:rsidR="003F2290" w:rsidRPr="0034184C" w:rsidRDefault="003F2290" w:rsidP="003F2290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184C">
        <w:rPr>
          <w:rFonts w:ascii="Times New Roman" w:hAnsi="Times New Roman" w:cs="Times New Roman"/>
          <w:b/>
          <w:bCs/>
          <w:sz w:val="24"/>
          <w:szCs w:val="24"/>
        </w:rPr>
        <w:t>Health and Safety</w:t>
      </w:r>
    </w:p>
    <w:p w14:paraId="7B03B5FD" w14:textId="77777777" w:rsidR="003F2290" w:rsidRPr="004538A7" w:rsidRDefault="003F2290" w:rsidP="003F2290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Wear eye protection and if any chemical splashes on your skin wash it off immediately.</w:t>
      </w:r>
    </w:p>
    <w:p w14:paraId="5869ABC9" w14:textId="77777777" w:rsidR="003F2290" w:rsidRPr="004538A7" w:rsidRDefault="003F2290" w:rsidP="003F2290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Ethyl benzoate is of </w:t>
      </w:r>
      <w:r>
        <w:rPr>
          <w:rFonts w:ascii="Times New Roman" w:hAnsi="Times New Roman" w:cs="Times New Roman"/>
          <w:sz w:val="24"/>
          <w:szCs w:val="24"/>
        </w:rPr>
        <w:t>no significant hazard</w:t>
      </w:r>
      <w:r w:rsidRPr="004538A7">
        <w:rPr>
          <w:rFonts w:ascii="Times New Roman" w:hAnsi="Times New Roman" w:cs="Times New Roman"/>
          <w:sz w:val="24"/>
          <w:szCs w:val="24"/>
        </w:rPr>
        <w:t>.</w:t>
      </w:r>
    </w:p>
    <w:p w14:paraId="68F0280A" w14:textId="77777777" w:rsidR="003F2290" w:rsidRPr="004538A7" w:rsidRDefault="003F2290" w:rsidP="003F2290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2 </w:t>
      </w:r>
      <w:r w:rsidRPr="007B3C4C">
        <w:rPr>
          <w:rFonts w:ascii="Times New Roman" w:hAnsi="Times New Roman" w:cs="Times New Roman"/>
          <w:sz w:val="24"/>
          <w:szCs w:val="24"/>
        </w:rPr>
        <w:t>mol l</w:t>
      </w:r>
      <w:r w:rsidRPr="007B3C4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sodium hydroxide is corrosive to the eyes and skin. Gloves and goggles should be worn.</w:t>
      </w:r>
    </w:p>
    <w:p w14:paraId="603D08A8" w14:textId="77777777" w:rsidR="003F2290" w:rsidRPr="004538A7" w:rsidRDefault="003F2290" w:rsidP="003F2290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5 </w:t>
      </w:r>
      <w:r w:rsidRPr="007B3C4C">
        <w:rPr>
          <w:rFonts w:ascii="Times New Roman" w:hAnsi="Times New Roman" w:cs="Times New Roman"/>
          <w:sz w:val="24"/>
          <w:szCs w:val="24"/>
        </w:rPr>
        <w:t>mol l</w:t>
      </w:r>
      <w:r w:rsidRPr="007B3C4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 xml:space="preserve">hydrochloric acid is </w:t>
      </w:r>
      <w:r>
        <w:rPr>
          <w:rFonts w:ascii="Times New Roman" w:hAnsi="Times New Roman" w:cs="Times New Roman"/>
          <w:sz w:val="24"/>
          <w:szCs w:val="24"/>
        </w:rPr>
        <w:t>irritating</w:t>
      </w:r>
      <w:r w:rsidRPr="004538A7">
        <w:rPr>
          <w:rFonts w:ascii="Times New Roman" w:hAnsi="Times New Roman" w:cs="Times New Roman"/>
          <w:sz w:val="24"/>
          <w:szCs w:val="24"/>
        </w:rPr>
        <w:t xml:space="preserve"> to the eyes, </w:t>
      </w:r>
      <w:proofErr w:type="gramStart"/>
      <w:r w:rsidRPr="004538A7">
        <w:rPr>
          <w:rFonts w:ascii="Times New Roman" w:hAnsi="Times New Roman" w:cs="Times New Roman"/>
          <w:sz w:val="24"/>
          <w:szCs w:val="24"/>
        </w:rPr>
        <w:t>lungs</w:t>
      </w:r>
      <w:proofErr w:type="gramEnd"/>
      <w:r w:rsidRPr="004538A7">
        <w:rPr>
          <w:rFonts w:ascii="Times New Roman" w:hAnsi="Times New Roman" w:cs="Times New Roman"/>
          <w:sz w:val="24"/>
          <w:szCs w:val="24"/>
        </w:rPr>
        <w:t xml:space="preserve"> and skin and if swallowed. Wear gloves.</w:t>
      </w:r>
    </w:p>
    <w:p w14:paraId="20820CFE" w14:textId="77777777" w:rsidR="003F2290" w:rsidRPr="004538A7" w:rsidRDefault="003F2290" w:rsidP="003F2290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The product, benzoic acid is </w:t>
      </w:r>
      <w:r>
        <w:rPr>
          <w:rFonts w:ascii="Times New Roman" w:hAnsi="Times New Roman" w:cs="Times New Roman"/>
          <w:sz w:val="24"/>
          <w:szCs w:val="24"/>
        </w:rPr>
        <w:t xml:space="preserve">a skin, </w:t>
      </w:r>
      <w:proofErr w:type="gramStart"/>
      <w:r>
        <w:rPr>
          <w:rFonts w:ascii="Times New Roman" w:hAnsi="Times New Roman" w:cs="Times New Roman"/>
          <w:sz w:val="24"/>
          <w:szCs w:val="24"/>
        </w:rPr>
        <w:t>eye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respiratory irritant</w:t>
      </w:r>
      <w:r w:rsidRPr="004538A7">
        <w:rPr>
          <w:rFonts w:ascii="Times New Roman" w:hAnsi="Times New Roman" w:cs="Times New Roman"/>
          <w:sz w:val="24"/>
          <w:szCs w:val="24"/>
        </w:rPr>
        <w:t>.</w:t>
      </w:r>
    </w:p>
    <w:p w14:paraId="38393EB2" w14:textId="77777777" w:rsidR="003F2290" w:rsidRPr="004538A7" w:rsidRDefault="003F2290" w:rsidP="003F2290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Ethanol is </w:t>
      </w:r>
      <w:r w:rsidRPr="004538A7">
        <w:rPr>
          <w:rFonts w:ascii="Times New Roman" w:hAnsi="Times New Roman" w:cs="Times New Roman"/>
          <w:sz w:val="24"/>
          <w:szCs w:val="24"/>
        </w:rPr>
        <w:t>volatile, highly ﬂammable, irritating to the eyes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intoxicating if inhaled or ingested.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Pr="009B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538A7">
        <w:rPr>
          <w:rFonts w:ascii="Times New Roman" w:hAnsi="Times New Roman" w:cs="Times New Roman"/>
          <w:sz w:val="24"/>
          <w:szCs w:val="24"/>
        </w:rPr>
        <w:t>nly a small amount of ethanol is produced in the reaction.</w:t>
      </w:r>
    </w:p>
    <w:p w14:paraId="2C04B6ED" w14:textId="77777777" w:rsidR="003F2290" w:rsidRPr="004538A7" w:rsidRDefault="003F2290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33C610DB" w14:textId="58438044" w:rsidR="004538A7" w:rsidRPr="007B3C4C" w:rsidRDefault="003F2290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You will need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184C" w:rsidRPr="0034184C" w14:paraId="4A1810F1" w14:textId="77777777" w:rsidTr="0034184C">
        <w:tc>
          <w:tcPr>
            <w:tcW w:w="4675" w:type="dxa"/>
          </w:tcPr>
          <w:p w14:paraId="376FFE90" w14:textId="4755F223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ethyl benzoate</w:t>
            </w:r>
          </w:p>
        </w:tc>
        <w:tc>
          <w:tcPr>
            <w:tcW w:w="4675" w:type="dxa"/>
          </w:tcPr>
          <w:p w14:paraId="5E85B25A" w14:textId="2A7A5A51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2 mol l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sodium hydroxide</w:t>
            </w:r>
          </w:p>
        </w:tc>
      </w:tr>
      <w:tr w:rsidR="0034184C" w:rsidRPr="0034184C" w14:paraId="3843E2AF" w14:textId="77777777" w:rsidTr="0034184C">
        <w:tc>
          <w:tcPr>
            <w:tcW w:w="4675" w:type="dxa"/>
          </w:tcPr>
          <w:p w14:paraId="184EDD1F" w14:textId="29DC301C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5 mol l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hydrochloric acid</w:t>
            </w:r>
          </w:p>
        </w:tc>
        <w:tc>
          <w:tcPr>
            <w:tcW w:w="4675" w:type="dxa"/>
          </w:tcPr>
          <w:p w14:paraId="2485B37F" w14:textId="1B4F590C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deionised water</w:t>
            </w:r>
          </w:p>
        </w:tc>
      </w:tr>
      <w:tr w:rsidR="0034184C" w:rsidRPr="0034184C" w14:paraId="42790B3E" w14:textId="77777777" w:rsidTr="0034184C">
        <w:tc>
          <w:tcPr>
            <w:tcW w:w="4675" w:type="dxa"/>
          </w:tcPr>
          <w:p w14:paraId="4D66D4F7" w14:textId="47370939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l00 cm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round-bottomed</w:t>
            </w:r>
            <w:proofErr w:type="gramEnd"/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ﬂask</w:t>
            </w:r>
          </w:p>
        </w:tc>
        <w:tc>
          <w:tcPr>
            <w:tcW w:w="4675" w:type="dxa"/>
          </w:tcPr>
          <w:p w14:paraId="7D04F6B2" w14:textId="32E7A214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cork ring</w:t>
            </w:r>
          </w:p>
        </w:tc>
      </w:tr>
      <w:tr w:rsidR="0034184C" w:rsidRPr="0034184C" w14:paraId="215001E4" w14:textId="77777777" w:rsidTr="0034184C">
        <w:tc>
          <w:tcPr>
            <w:tcW w:w="4675" w:type="dxa"/>
          </w:tcPr>
          <w:p w14:paraId="3A0300F6" w14:textId="7F2E7231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condenser</w:t>
            </w:r>
          </w:p>
        </w:tc>
        <w:tc>
          <w:tcPr>
            <w:tcW w:w="4675" w:type="dxa"/>
          </w:tcPr>
          <w:p w14:paraId="2048BB8E" w14:textId="34654345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heating mantle</w:t>
            </w:r>
          </w:p>
        </w:tc>
      </w:tr>
      <w:tr w:rsidR="0034184C" w:rsidRPr="0034184C" w14:paraId="56570D40" w14:textId="77777777" w:rsidTr="0034184C">
        <w:tc>
          <w:tcPr>
            <w:tcW w:w="4675" w:type="dxa"/>
          </w:tcPr>
          <w:p w14:paraId="7454CCAB" w14:textId="7C2937F4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anti-bumping granules</w:t>
            </w:r>
          </w:p>
        </w:tc>
        <w:tc>
          <w:tcPr>
            <w:tcW w:w="4675" w:type="dxa"/>
          </w:tcPr>
          <w:p w14:paraId="743CAA1D" w14:textId="1E2512F1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dropper</w:t>
            </w:r>
          </w:p>
        </w:tc>
      </w:tr>
      <w:tr w:rsidR="0034184C" w:rsidRPr="0034184C" w14:paraId="2687C774" w14:textId="77777777" w:rsidTr="0034184C">
        <w:tc>
          <w:tcPr>
            <w:tcW w:w="4675" w:type="dxa"/>
          </w:tcPr>
          <w:p w14:paraId="1F5C1B5C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Buchner funnel and ﬂask blue litmus paper or pH paper</w:t>
            </w:r>
          </w:p>
        </w:tc>
        <w:tc>
          <w:tcPr>
            <w:tcW w:w="4675" w:type="dxa"/>
          </w:tcPr>
          <w:p w14:paraId="2B924C59" w14:textId="1339611D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100 cm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measuring cylinder </w:t>
            </w:r>
          </w:p>
        </w:tc>
      </w:tr>
      <w:tr w:rsidR="0034184C" w:rsidRPr="0034184C" w14:paraId="36D2DBB0" w14:textId="77777777" w:rsidTr="0034184C">
        <w:tc>
          <w:tcPr>
            <w:tcW w:w="4675" w:type="dxa"/>
          </w:tcPr>
          <w:p w14:paraId="41FB6DCE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glass ﬁlter funnel</w:t>
            </w:r>
          </w:p>
        </w:tc>
        <w:tc>
          <w:tcPr>
            <w:tcW w:w="4675" w:type="dxa"/>
          </w:tcPr>
          <w:p w14:paraId="65B0484F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melting point apparatus</w:t>
            </w:r>
          </w:p>
        </w:tc>
      </w:tr>
      <w:tr w:rsidR="0034184C" w:rsidRPr="0034184C" w14:paraId="1DBA6ED0" w14:textId="77777777" w:rsidTr="0034184C">
        <w:tc>
          <w:tcPr>
            <w:tcW w:w="4675" w:type="dxa"/>
          </w:tcPr>
          <w:p w14:paraId="5242B25F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capillary tube</w:t>
            </w:r>
          </w:p>
        </w:tc>
        <w:tc>
          <w:tcPr>
            <w:tcW w:w="4675" w:type="dxa"/>
          </w:tcPr>
          <w:p w14:paraId="63C1D2A2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</w:tc>
      </w:tr>
      <w:tr w:rsidR="0034184C" w:rsidRPr="0034184C" w14:paraId="7F73D435" w14:textId="77777777" w:rsidTr="0034184C">
        <w:tc>
          <w:tcPr>
            <w:tcW w:w="4675" w:type="dxa"/>
          </w:tcPr>
          <w:p w14:paraId="1439F2DD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water pump</w:t>
            </w:r>
          </w:p>
        </w:tc>
        <w:tc>
          <w:tcPr>
            <w:tcW w:w="4675" w:type="dxa"/>
          </w:tcPr>
          <w:p w14:paraId="0E26BED6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balance (accurate to 0.01 g)</w:t>
            </w:r>
          </w:p>
        </w:tc>
      </w:tr>
      <w:tr w:rsidR="0034184C" w:rsidRPr="0034184C" w14:paraId="75274BC4" w14:textId="77777777" w:rsidTr="0034184C">
        <w:tc>
          <w:tcPr>
            <w:tcW w:w="4675" w:type="dxa"/>
          </w:tcPr>
          <w:p w14:paraId="19A0E580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oven</w:t>
            </w:r>
          </w:p>
        </w:tc>
        <w:tc>
          <w:tcPr>
            <w:tcW w:w="4675" w:type="dxa"/>
          </w:tcPr>
          <w:p w14:paraId="4C9116DF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hot plate</w:t>
            </w:r>
          </w:p>
        </w:tc>
      </w:tr>
      <w:tr w:rsidR="0034184C" w:rsidRPr="0034184C" w14:paraId="265601EF" w14:textId="77777777" w:rsidTr="0034184C">
        <w:tc>
          <w:tcPr>
            <w:tcW w:w="4675" w:type="dxa"/>
          </w:tcPr>
          <w:p w14:paraId="7F928779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ﬁlter papers</w:t>
            </w:r>
          </w:p>
        </w:tc>
        <w:tc>
          <w:tcPr>
            <w:tcW w:w="4675" w:type="dxa"/>
          </w:tcPr>
          <w:p w14:paraId="3364351A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250 cm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glass beakers</w:t>
            </w:r>
          </w:p>
        </w:tc>
      </w:tr>
      <w:tr w:rsidR="0034184C" w:rsidRPr="0034184C" w14:paraId="36CE297D" w14:textId="77777777" w:rsidTr="0034184C">
        <w:tc>
          <w:tcPr>
            <w:tcW w:w="4675" w:type="dxa"/>
          </w:tcPr>
          <w:p w14:paraId="4C94FF59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clock glass</w:t>
            </w:r>
          </w:p>
        </w:tc>
        <w:tc>
          <w:tcPr>
            <w:tcW w:w="4675" w:type="dxa"/>
          </w:tcPr>
          <w:p w14:paraId="0B14C4CA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glass stirring rod</w:t>
            </w:r>
          </w:p>
        </w:tc>
      </w:tr>
    </w:tbl>
    <w:p w14:paraId="2C327CA8" w14:textId="77777777" w:rsidR="0034184C" w:rsidRDefault="0034184C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60D5" w14:textId="77777777" w:rsidR="004538A7" w:rsidRPr="00506428" w:rsidRDefault="004538A7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428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014C824B" w14:textId="133DF287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Weigh the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100 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6428">
        <w:rPr>
          <w:rFonts w:ascii="Times New Roman" w:hAnsi="Times New Roman" w:cs="Times New Roman"/>
          <w:sz w:val="24"/>
          <w:szCs w:val="24"/>
        </w:rPr>
        <w:t>round-bottomed</w:t>
      </w:r>
      <w:proofErr w:type="gramEnd"/>
      <w:r w:rsidRPr="00506428">
        <w:rPr>
          <w:rFonts w:ascii="Times New Roman" w:hAnsi="Times New Roman" w:cs="Times New Roman"/>
          <w:sz w:val="24"/>
          <w:szCs w:val="24"/>
        </w:rPr>
        <w:t xml:space="preserve"> ﬂask supported on a cork ring. To the ﬂask, add about 5 g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of ethyl benzoate and reweigh the ﬂask and its contents.</w:t>
      </w:r>
    </w:p>
    <w:p w14:paraId="6A6CCF3D" w14:textId="58240C80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To the ethyl benzoate, add approximately 50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 xml:space="preserve"> of 2 </w:t>
      </w:r>
      <w:r w:rsidR="0034184C" w:rsidRPr="00506428">
        <w:rPr>
          <w:rFonts w:ascii="Times New Roman" w:hAnsi="Times New Roman" w:cs="Times New Roman"/>
          <w:sz w:val="24"/>
          <w:szCs w:val="24"/>
        </w:rPr>
        <w:t>mol l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sodium hydroxide and a few anti-bumping granules.</w:t>
      </w:r>
    </w:p>
    <w:p w14:paraId="10F8D9E0" w14:textId="1B3B7510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Set up the apparatus for heating under reﬂux. Using a heating mantle, reﬂux the reaction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mixture until all oily drops of the ester have disappeared. This may take 45 - 60 minutes.</w:t>
      </w:r>
    </w:p>
    <w:p w14:paraId="35CB13DC" w14:textId="7A26F0C0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Allow the apparatus to cool and then transfer the reaction mixture to a 250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>beaker.</w:t>
      </w:r>
    </w:p>
    <w:p w14:paraId="4887D228" w14:textId="4A1178DE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Slowly and with stirring, add 5 </w:t>
      </w:r>
      <w:r w:rsidR="0034184C" w:rsidRPr="00506428">
        <w:rPr>
          <w:rFonts w:ascii="Times New Roman" w:hAnsi="Times New Roman" w:cs="Times New Roman"/>
          <w:sz w:val="24"/>
          <w:szCs w:val="24"/>
        </w:rPr>
        <w:t>mol l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hydrochloric acid to the reaction mixture to precipitate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out the benzoic acid. Continue adding the acid until no more precipitation takes place and the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 xml:space="preserve">mixture tums acidic - test with blue litmus paper or pH paper. (About 30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06428">
        <w:rPr>
          <w:rFonts w:ascii="Times New Roman" w:hAnsi="Times New Roman" w:cs="Times New Roman"/>
          <w:sz w:val="24"/>
          <w:szCs w:val="24"/>
        </w:rPr>
        <w:t>of acid will be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required)</w:t>
      </w:r>
    </w:p>
    <w:p w14:paraId="216FA22E" w14:textId="1A7FB2C1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Allow the mixture to cool to room temperature and filter off the precipitate at the water pump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and wash the crude benzoic acid with a small volume of water.</w:t>
      </w:r>
    </w:p>
    <w:p w14:paraId="665826B3" w14:textId="64F8EC39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Transfer the </w:t>
      </w:r>
      <w:r w:rsidR="00506428" w:rsidRPr="00506428">
        <w:rPr>
          <w:rFonts w:ascii="Times New Roman" w:hAnsi="Times New Roman" w:cs="Times New Roman"/>
          <w:sz w:val="24"/>
          <w:szCs w:val="24"/>
        </w:rPr>
        <w:t>crude</w:t>
      </w:r>
      <w:r w:rsidRPr="00506428">
        <w:rPr>
          <w:rFonts w:ascii="Times New Roman" w:hAnsi="Times New Roman" w:cs="Times New Roman"/>
          <w:sz w:val="24"/>
          <w:szCs w:val="24"/>
        </w:rPr>
        <w:t xml:space="preserve"> benzoic acid to a 250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 xml:space="preserve"> beaker and recrystallise it from about 100 </w:t>
      </w:r>
      <w:r w:rsidR="00506428" w:rsidRPr="00506428">
        <w:rPr>
          <w:rFonts w:ascii="Times New Roman" w:hAnsi="Times New Roman" w:cs="Times New Roman"/>
          <w:sz w:val="24"/>
          <w:szCs w:val="24"/>
        </w:rPr>
        <w:t>cm</w:t>
      </w:r>
      <w:r w:rsidR="00506428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 xml:space="preserve"> of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water.</w:t>
      </w:r>
    </w:p>
    <w:p w14:paraId="7779B479" w14:textId="6B5918A5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Filter off the crystals of benzoic acid at the water pump and wash them with a small volume of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 xml:space="preserve">water. Allow air to be drawn through the crystals for a few minutes </w:t>
      </w:r>
      <w:proofErr w:type="gramStart"/>
      <w:r w:rsidRPr="00506428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06428">
        <w:rPr>
          <w:rFonts w:ascii="Times New Roman" w:hAnsi="Times New Roman" w:cs="Times New Roman"/>
          <w:sz w:val="24"/>
          <w:szCs w:val="24"/>
        </w:rPr>
        <w:t xml:space="preserve"> partially dry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them.</w:t>
      </w:r>
    </w:p>
    <w:p w14:paraId="098D1CE3" w14:textId="0F4E6F74" w:rsidR="004538A7" w:rsidRPr="001A0EFB" w:rsidRDefault="004538A7" w:rsidP="001A0EFB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Weigh a clock glass and transfer the crystals to it. Dry the crystals in an oven at about 70</w:t>
      </w:r>
      <w:r w:rsidR="00506428" w:rsidRPr="001A0EFB">
        <w:rPr>
          <w:rFonts w:ascii="Times New Roman" w:hAnsi="Times New Roman" w:cs="Times New Roman"/>
          <w:sz w:val="24"/>
          <w:szCs w:val="24"/>
        </w:rPr>
        <w:t>°</w:t>
      </w:r>
      <w:r w:rsidRPr="00506428">
        <w:rPr>
          <w:rFonts w:ascii="Times New Roman" w:hAnsi="Times New Roman" w:cs="Times New Roman"/>
          <w:sz w:val="24"/>
          <w:szCs w:val="24"/>
        </w:rPr>
        <w:t>C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and then reweigh the clock glass and crystals.</w:t>
      </w:r>
      <w:r w:rsidR="001A0E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A0EFB">
        <w:rPr>
          <w:rFonts w:ascii="Times New Roman" w:hAnsi="Times New Roman" w:cs="Times New Roman"/>
          <w:sz w:val="24"/>
          <w:szCs w:val="24"/>
        </w:rPr>
        <w:t>alternatively</w:t>
      </w:r>
      <w:proofErr w:type="gramEnd"/>
      <w:r w:rsidR="001A0EFB">
        <w:rPr>
          <w:rFonts w:ascii="Times New Roman" w:hAnsi="Times New Roman" w:cs="Times New Roman"/>
          <w:sz w:val="24"/>
          <w:szCs w:val="24"/>
        </w:rPr>
        <w:t>, you can dry it</w:t>
      </w:r>
      <w:r w:rsidR="00E726A4">
        <w:rPr>
          <w:rFonts w:ascii="Times New Roman" w:hAnsi="Times New Roman" w:cs="Times New Roman"/>
          <w:sz w:val="24"/>
          <w:szCs w:val="24"/>
        </w:rPr>
        <w:t xml:space="preserve"> </w:t>
      </w:r>
      <w:r w:rsidR="001A0EFB" w:rsidRPr="004538A7">
        <w:rPr>
          <w:rFonts w:ascii="Times New Roman" w:hAnsi="Times New Roman" w:cs="Times New Roman"/>
          <w:sz w:val="24"/>
          <w:szCs w:val="24"/>
        </w:rPr>
        <w:t>in the open air or in a desiccator with</w:t>
      </w:r>
      <w:r w:rsidR="001A0EFB">
        <w:rPr>
          <w:rFonts w:ascii="Times New Roman" w:hAnsi="Times New Roman" w:cs="Times New Roman"/>
          <w:sz w:val="24"/>
          <w:szCs w:val="24"/>
        </w:rPr>
        <w:t xml:space="preserve"> </w:t>
      </w:r>
      <w:r w:rsidR="001A0EFB" w:rsidRPr="004538A7">
        <w:rPr>
          <w:rFonts w:ascii="Times New Roman" w:hAnsi="Times New Roman" w:cs="Times New Roman"/>
          <w:sz w:val="24"/>
          <w:szCs w:val="24"/>
        </w:rPr>
        <w:t>silica gel or anhydrous calcium chloride as desiccant.</w:t>
      </w:r>
      <w:r w:rsidR="001A0EFB" w:rsidRPr="001A0EFB">
        <w:rPr>
          <w:rFonts w:ascii="Times New Roman" w:hAnsi="Times New Roman" w:cs="Times New Roman"/>
          <w:sz w:val="24"/>
          <w:szCs w:val="24"/>
        </w:rPr>
        <w:t>)</w:t>
      </w:r>
    </w:p>
    <w:p w14:paraId="0599D961" w14:textId="77777777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Determine the melting point of the benzoic acid.</w:t>
      </w:r>
    </w:p>
    <w:p w14:paraId="7A351874" w14:textId="77777777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Calculate the percentage yield of benzoic acid.</w:t>
      </w:r>
    </w:p>
    <w:p w14:paraId="61F81F83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6731EC05" w14:textId="42781019" w:rsidR="004538A7" w:rsidRPr="004538A7" w:rsidRDefault="004538A7" w:rsidP="00646E2E">
      <w:pPr>
        <w:rPr>
          <w:rFonts w:ascii="Times New Roman" w:hAnsi="Times New Roman" w:cs="Times New Roman"/>
          <w:sz w:val="24"/>
          <w:szCs w:val="24"/>
        </w:rPr>
      </w:pPr>
    </w:p>
    <w:sectPr w:rsidR="004538A7" w:rsidRPr="004538A7" w:rsidSect="00A10FCA"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A55"/>
    <w:multiLevelType w:val="hybridMultilevel"/>
    <w:tmpl w:val="BD14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4DEA"/>
    <w:multiLevelType w:val="hybridMultilevel"/>
    <w:tmpl w:val="A71A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DD8"/>
    <w:multiLevelType w:val="hybridMultilevel"/>
    <w:tmpl w:val="9F38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E1DA8"/>
    <w:multiLevelType w:val="hybridMultilevel"/>
    <w:tmpl w:val="F5BC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4B38"/>
    <w:multiLevelType w:val="hybridMultilevel"/>
    <w:tmpl w:val="DD405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CD0A1F"/>
    <w:multiLevelType w:val="hybridMultilevel"/>
    <w:tmpl w:val="0D8AB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50802"/>
    <w:multiLevelType w:val="hybridMultilevel"/>
    <w:tmpl w:val="B552BE8C"/>
    <w:lvl w:ilvl="0" w:tplc="888C0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D4702"/>
    <w:multiLevelType w:val="hybridMultilevel"/>
    <w:tmpl w:val="9A88C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FF"/>
    <w:rsid w:val="00127AB1"/>
    <w:rsid w:val="00160FA0"/>
    <w:rsid w:val="001A0EFB"/>
    <w:rsid w:val="001F0C39"/>
    <w:rsid w:val="002121D5"/>
    <w:rsid w:val="00251906"/>
    <w:rsid w:val="0034184C"/>
    <w:rsid w:val="0037733E"/>
    <w:rsid w:val="003F2290"/>
    <w:rsid w:val="004538A7"/>
    <w:rsid w:val="00506428"/>
    <w:rsid w:val="005256A5"/>
    <w:rsid w:val="00585FA7"/>
    <w:rsid w:val="00646E2E"/>
    <w:rsid w:val="0066791F"/>
    <w:rsid w:val="00693CD2"/>
    <w:rsid w:val="006C5EC5"/>
    <w:rsid w:val="006D6A4A"/>
    <w:rsid w:val="00714F03"/>
    <w:rsid w:val="007230A5"/>
    <w:rsid w:val="00730E48"/>
    <w:rsid w:val="007A2D47"/>
    <w:rsid w:val="007B3C4C"/>
    <w:rsid w:val="008B0A3A"/>
    <w:rsid w:val="0090090D"/>
    <w:rsid w:val="009B3B16"/>
    <w:rsid w:val="00A10FCA"/>
    <w:rsid w:val="00AE33FF"/>
    <w:rsid w:val="00B50528"/>
    <w:rsid w:val="00D86CAF"/>
    <w:rsid w:val="00DB3ED1"/>
    <w:rsid w:val="00E20135"/>
    <w:rsid w:val="00E726A4"/>
    <w:rsid w:val="00F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840"/>
  <w15:chartTrackingRefBased/>
  <w15:docId w15:val="{6BEF692F-98FD-464B-92C0-45E960C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rFonts w:ascii="Times New Roman" w:hAnsi="Times New Roman" w:cs="Times New Roman"/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33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3FF"/>
    <w:pPr>
      <w:ind w:left="720"/>
      <w:contextualSpacing/>
    </w:pPr>
  </w:style>
  <w:style w:type="table" w:styleId="TableGrid">
    <w:name w:val="Table Grid"/>
    <w:basedOn w:val="TableNormal"/>
    <w:uiPriority w:val="39"/>
    <w:rsid w:val="0069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Equations"/>
    <w:basedOn w:val="Normal"/>
    <w:link w:val="NoSpacingChar"/>
    <w:uiPriority w:val="1"/>
    <w:qFormat/>
    <w:rsid w:val="00F91F09"/>
    <w:pPr>
      <w:spacing w:after="120" w:line="264" w:lineRule="auto"/>
    </w:pPr>
    <w:rPr>
      <w:rFonts w:ascii="Times New Roman" w:eastAsia="Calibri" w:hAnsi="Times New Roman" w:cs="Times New Roman"/>
      <w:sz w:val="32"/>
      <w:szCs w:val="32"/>
      <w:shd w:val="clear" w:color="auto" w:fill="FFFFFF"/>
    </w:rPr>
  </w:style>
  <w:style w:type="character" w:customStyle="1" w:styleId="NoSpacingChar">
    <w:name w:val="No Spacing Char"/>
    <w:aliases w:val="Equations Char"/>
    <w:link w:val="NoSpacing"/>
    <w:uiPriority w:val="1"/>
    <w:rsid w:val="00F91F09"/>
    <w:rPr>
      <w:rFonts w:ascii="Times New Roman" w:eastAsia="Calibri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25AE-ECEF-4735-8721-8678C762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28</cp:revision>
  <dcterms:created xsi:type="dcterms:W3CDTF">2020-10-20T16:44:00Z</dcterms:created>
  <dcterms:modified xsi:type="dcterms:W3CDTF">2021-07-07T09:22:00Z</dcterms:modified>
</cp:coreProperties>
</file>