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72CE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3B724" wp14:editId="434585F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7A1D6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6558898C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10A1B4E7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6A5AAC1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3C9487BA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2927CDB4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770B31C7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3B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6387A1D6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6558898C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10A1B4E7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26A5AAC1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3C9487BA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2927CDB4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770B31C7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5D3237AA" wp14:editId="6A8E5F27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6200E" w14:textId="77777777" w:rsidR="00762595" w:rsidRDefault="00762595" w:rsidP="00762595">
      <w:pPr>
        <w:pStyle w:val="Heading1"/>
        <w:rPr>
          <w:sz w:val="24"/>
        </w:rPr>
      </w:pPr>
    </w:p>
    <w:p w14:paraId="79887D0B" w14:textId="77777777" w:rsidR="00762595" w:rsidRDefault="00762595" w:rsidP="00762595">
      <w:pPr>
        <w:pStyle w:val="Heading1"/>
        <w:rPr>
          <w:sz w:val="24"/>
        </w:rPr>
      </w:pPr>
    </w:p>
    <w:p w14:paraId="04320589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2528C939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1A09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6C3" w14:textId="26D977D7" w:rsidR="00762595" w:rsidRDefault="003C0123">
            <w:r>
              <w:t>Making Artists’ Pigments</w:t>
            </w:r>
          </w:p>
        </w:tc>
      </w:tr>
      <w:tr w:rsidR="00762595" w14:paraId="55E6A61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562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7306" w14:textId="7D55D952" w:rsidR="00762595" w:rsidRDefault="003C0123">
            <w:r>
              <w:t>November 2024</w:t>
            </w:r>
          </w:p>
        </w:tc>
      </w:tr>
      <w:tr w:rsidR="00762595" w14:paraId="7AFECAD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86D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96E" w14:textId="77777777" w:rsidR="00762595" w:rsidRDefault="00762595">
            <w:pPr>
              <w:pStyle w:val="Salutation"/>
            </w:pPr>
          </w:p>
        </w:tc>
      </w:tr>
      <w:tr w:rsidR="00762595" w14:paraId="054C879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AEE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6F6" w14:textId="77777777" w:rsidR="00762595" w:rsidRDefault="00762595">
            <w:pPr>
              <w:pStyle w:val="Salutation"/>
            </w:pPr>
          </w:p>
        </w:tc>
      </w:tr>
      <w:tr w:rsidR="00762595" w14:paraId="5C626226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F2A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D14" w14:textId="77777777" w:rsidR="00762595" w:rsidRDefault="00762595"/>
        </w:tc>
      </w:tr>
    </w:tbl>
    <w:p w14:paraId="455C3A40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004FDA2F" w14:textId="77777777" w:rsidTr="003C0123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E33790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7B7AC5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C5C0795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19BC7E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79879DF5" w14:textId="77777777" w:rsidTr="003C0123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271EFA7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803A473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EC89C4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11F832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0F6DCF5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3EA4A323" w14:textId="77777777" w:rsidTr="003C0123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C2FA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DE25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E571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3DFFC2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2D8ADA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D897D9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3C0123" w14:paraId="1464F3BE" w14:textId="77777777" w:rsidTr="003C0123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F12" w14:textId="77777777" w:rsidR="003C0123" w:rsidRDefault="003C0123" w:rsidP="003C0123">
            <w:r>
              <w:t xml:space="preserve">Cobalt chloride is a mutagen, carcinogen, reproductive toxin and a skin/respiratory sensitiser. </w:t>
            </w:r>
          </w:p>
          <w:p w14:paraId="4D134AE8" w14:textId="78076AE5" w:rsidR="003C0123" w:rsidRDefault="003C0123" w:rsidP="003C0123">
            <w:r>
              <w:t>The solution has the same properties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9446" w14:textId="6BD9A061" w:rsidR="003C0123" w:rsidRDefault="003C0123" w:rsidP="003C0123">
            <w:r>
              <w:t>Technician, teacher or learner by inhalation or splashes.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776" w14:textId="35415A12" w:rsidR="003C0123" w:rsidRDefault="003C0123" w:rsidP="003C0123">
            <w:pPr>
              <w:spacing w:after="40"/>
            </w:pPr>
            <w:r>
              <w:t>Inhalation is extremely unlikely but avoid raising dust.</w:t>
            </w:r>
          </w:p>
          <w:p w14:paraId="30E18FBE" w14:textId="47D187B8" w:rsidR="003C0123" w:rsidRDefault="003C0123" w:rsidP="003C0123">
            <w:pPr>
              <w:spacing w:after="40"/>
            </w:pPr>
            <w:r>
              <w:t>Wear goggles (BS EN 16 63) and consider gloves.</w:t>
            </w:r>
          </w:p>
          <w:p w14:paraId="079E3426" w14:textId="4F77F5CF" w:rsidR="003C0123" w:rsidRDefault="003C0123" w:rsidP="003C012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CE0" w14:textId="77777777" w:rsidR="003C0123" w:rsidRDefault="003C0123" w:rsidP="003C012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A9F" w14:textId="77777777" w:rsidR="003C0123" w:rsidRDefault="003C0123" w:rsidP="003C01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928" w14:textId="77777777" w:rsidR="003C0123" w:rsidRDefault="003C0123" w:rsidP="003C0123"/>
        </w:tc>
      </w:tr>
      <w:tr w:rsidR="003C0123" w14:paraId="7CAD94DB" w14:textId="77777777" w:rsidTr="003C012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F2C" w14:textId="3788379B" w:rsidR="003C0123" w:rsidRDefault="003C0123" w:rsidP="003C0123">
            <w:r>
              <w:t>Potassium hydrogen phosphate has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BB1" w14:textId="52E56DE7" w:rsidR="003C0123" w:rsidRDefault="003C0123" w:rsidP="003C0123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B52" w14:textId="481DF7CA" w:rsidR="003C0123" w:rsidRDefault="003C0123" w:rsidP="003C012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791" w14:textId="77777777" w:rsidR="003C0123" w:rsidRDefault="003C0123" w:rsidP="003C012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C66" w14:textId="77777777" w:rsidR="003C0123" w:rsidRDefault="003C0123" w:rsidP="003C01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661" w14:textId="77777777" w:rsidR="003C0123" w:rsidRDefault="003C0123" w:rsidP="003C0123"/>
        </w:tc>
      </w:tr>
      <w:tr w:rsidR="003C0123" w14:paraId="55F7C98F" w14:textId="77777777" w:rsidTr="003C012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2172" w14:textId="77777777" w:rsidR="003C0123" w:rsidRDefault="003C0123" w:rsidP="003C0123">
            <w:r>
              <w:t>Copper sulphate is harmful if swallowed and causes serious eye damage.</w:t>
            </w:r>
          </w:p>
          <w:p w14:paraId="2A348BCC" w14:textId="55792D15" w:rsidR="003C0123" w:rsidRDefault="003C0123" w:rsidP="003C0123">
            <w:r>
              <w:t>The solution has the same properties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DCDD" w14:textId="76D9BBC3" w:rsidR="003C0123" w:rsidRDefault="003C0123" w:rsidP="003C0123">
            <w:r>
              <w:t>Technician, teacher and learners by splashes and contact with eyes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7EC" w14:textId="77777777" w:rsidR="003C0123" w:rsidRDefault="003C0123" w:rsidP="003C0123">
            <w:pPr>
              <w:spacing w:after="40"/>
            </w:pPr>
            <w:r>
              <w:t>Avoid raising dust.</w:t>
            </w:r>
          </w:p>
          <w:p w14:paraId="0C9CD644" w14:textId="4B87BC12" w:rsidR="003C0123" w:rsidRDefault="003C0123" w:rsidP="003C0123">
            <w:pPr>
              <w:spacing w:after="40"/>
            </w:pPr>
            <w:r>
              <w:t>Wear goggles (BS EN 16 63) and consider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938" w14:textId="77777777" w:rsidR="003C0123" w:rsidRDefault="003C0123" w:rsidP="003C012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43A" w14:textId="77777777" w:rsidR="003C0123" w:rsidRDefault="003C0123" w:rsidP="003C01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AB7" w14:textId="77777777" w:rsidR="003C0123" w:rsidRDefault="003C0123" w:rsidP="003C0123"/>
        </w:tc>
      </w:tr>
      <w:tr w:rsidR="003C0123" w14:paraId="6E42787B" w14:textId="77777777" w:rsidTr="003C012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1E8" w14:textId="77777777" w:rsidR="003C0123" w:rsidRDefault="003C0123" w:rsidP="003C0123">
            <w:r w:rsidRPr="002213BA">
              <w:t>Sodium carbonate is</w:t>
            </w:r>
            <w:r>
              <w:t xml:space="preserve"> a sin/eye</w:t>
            </w:r>
            <w:r w:rsidRPr="002213BA">
              <w:t xml:space="preserve"> irritant.</w:t>
            </w:r>
          </w:p>
          <w:p w14:paraId="1DFC4CF1" w14:textId="78E9295D" w:rsidR="003C0123" w:rsidRDefault="003C0123" w:rsidP="003C0123">
            <w:r>
              <w:t>The solution has the same properties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2CB" w14:textId="60DBBFE1" w:rsidR="003C0123" w:rsidRDefault="003C0123" w:rsidP="003C0123">
            <w:r>
              <w:t>Technician, teacher and learners by inhalation.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E29" w14:textId="77777777" w:rsidR="003C0123" w:rsidRDefault="003C0123" w:rsidP="003C0123">
            <w:pPr>
              <w:spacing w:after="40"/>
            </w:pPr>
            <w:r>
              <w:t>Avoid raising dust.</w:t>
            </w:r>
          </w:p>
          <w:p w14:paraId="159B8F0E" w14:textId="2269CA05" w:rsidR="003C0123" w:rsidRDefault="003C0123" w:rsidP="003C0123">
            <w:pPr>
              <w:spacing w:after="40"/>
            </w:pPr>
            <w:r>
              <w:t>Wear eye protection and gloves.</w:t>
            </w:r>
          </w:p>
          <w:p w14:paraId="3EE0CD42" w14:textId="3146ECD6" w:rsidR="003C0123" w:rsidRDefault="003C0123" w:rsidP="003C012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C06" w14:textId="77777777" w:rsidR="003C0123" w:rsidRDefault="003C0123" w:rsidP="003C012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439" w14:textId="77777777" w:rsidR="003C0123" w:rsidRDefault="003C0123" w:rsidP="003C01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53B7" w14:textId="77777777" w:rsidR="003C0123" w:rsidRDefault="003C0123" w:rsidP="003C0123"/>
        </w:tc>
      </w:tr>
      <w:tr w:rsidR="003C0123" w14:paraId="28A55BA8" w14:textId="77777777" w:rsidTr="003C012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0132" w14:textId="0AB3D4BD" w:rsidR="003C0123" w:rsidRDefault="003C0123" w:rsidP="003C0123">
            <w:r>
              <w:t>Potassium Hexacyanoferrate III is dangerous for environment.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E0A" w14:textId="2FB7D113" w:rsidR="003C0123" w:rsidRDefault="003C0123" w:rsidP="003C0123">
            <w:r>
              <w:t>Technician, teacher and learners by inhalation.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3A0A" w14:textId="77777777" w:rsidR="003C0123" w:rsidRDefault="003C0123" w:rsidP="003C0123">
            <w:pPr>
              <w:spacing w:after="40"/>
            </w:pPr>
            <w:r>
              <w:t>Avoid raising dust.</w:t>
            </w:r>
          </w:p>
          <w:p w14:paraId="40E4FC49" w14:textId="1652257B" w:rsidR="003C0123" w:rsidRDefault="003C0123" w:rsidP="003C0123">
            <w:pPr>
              <w:spacing w:after="40"/>
            </w:pPr>
            <w:r>
              <w:t>Wear goggles (BS EN 16 63).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084" w14:textId="77777777" w:rsidR="003C0123" w:rsidRDefault="003C0123" w:rsidP="003C012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A32D" w14:textId="77777777" w:rsidR="003C0123" w:rsidRDefault="003C0123" w:rsidP="003C01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3A3" w14:textId="77777777" w:rsidR="003C0123" w:rsidRDefault="003C0123" w:rsidP="003C0123"/>
        </w:tc>
      </w:tr>
      <w:tr w:rsidR="003C0123" w14:paraId="1A919904" w14:textId="77777777" w:rsidTr="003C012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4E5" w14:textId="1F8A137B" w:rsidR="003C0123" w:rsidRDefault="003C0123" w:rsidP="003C0123">
            <w:proofErr w:type="gramStart"/>
            <w:r>
              <w:lastRenderedPageBreak/>
              <w:t>Iron(</w:t>
            </w:r>
            <w:proofErr w:type="gramEnd"/>
            <w:r>
              <w:t>III) chloride is irritant.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F5C" w14:textId="0F1A1BF8" w:rsidR="003C0123" w:rsidRDefault="003C0123" w:rsidP="003C0123">
            <w:r>
              <w:t>Technician and teacher by inhalation.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B1A" w14:textId="77777777" w:rsidR="003C0123" w:rsidRDefault="003C0123" w:rsidP="003C0123">
            <w:pPr>
              <w:spacing w:after="40"/>
            </w:pPr>
            <w:r>
              <w:t>Avoid raising dust.</w:t>
            </w:r>
          </w:p>
          <w:p w14:paraId="2BA9D5A0" w14:textId="77777777" w:rsidR="003C0123" w:rsidRDefault="003C0123" w:rsidP="003C0123">
            <w:pPr>
              <w:spacing w:after="40"/>
            </w:pPr>
            <w:r>
              <w:t>Wear goggles (BS EN 16 63) and gloves.</w:t>
            </w:r>
          </w:p>
          <w:p w14:paraId="16E2FB63" w14:textId="2D75144C" w:rsidR="003C0123" w:rsidRDefault="003C0123" w:rsidP="003C0123">
            <w:r>
              <w:t>If spilt on skin wash off with copious quantities of water.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E52" w14:textId="77777777" w:rsidR="003C0123" w:rsidRDefault="003C0123" w:rsidP="003C012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F2F5" w14:textId="77777777" w:rsidR="003C0123" w:rsidRDefault="003C0123" w:rsidP="003C01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2AC" w14:textId="77777777" w:rsidR="003C0123" w:rsidRDefault="003C0123" w:rsidP="003C0123"/>
        </w:tc>
      </w:tr>
    </w:tbl>
    <w:p w14:paraId="5EA801B2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2D856B4C" w14:textId="77777777" w:rsidTr="000E609F">
        <w:trPr>
          <w:trHeight w:val="2545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024C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81F608A" w14:textId="77777777" w:rsidR="00762595" w:rsidRDefault="00762595"/>
          <w:p w14:paraId="0C4CD5B8" w14:textId="5E703D76" w:rsidR="00897AAE" w:rsidRDefault="00391719">
            <w:r>
              <w:t xml:space="preserve">A selection of solutions is available for learners – as determined by the teacher. </w:t>
            </w:r>
            <w:r w:rsidR="006E2B6C">
              <w:t>Having the solutions pre-prepared by the technicians reduces the risk but is not essential.</w:t>
            </w:r>
          </w:p>
          <w:p w14:paraId="042AD7D6" w14:textId="54B3E95A" w:rsidR="006E2B6C" w:rsidRDefault="005D09E1">
            <w:r>
              <w:t xml:space="preserve">The solutions are mixed </w:t>
            </w:r>
            <w:proofErr w:type="gramStart"/>
            <w:r>
              <w:t>and in some cases</w:t>
            </w:r>
            <w:proofErr w:type="gramEnd"/>
            <w:r>
              <w:t xml:space="preserve"> heated, before the precipitate is </w:t>
            </w:r>
            <w:r w:rsidR="000572E4">
              <w:t>filtered off and dried to be used as a pigment.</w:t>
            </w:r>
          </w:p>
          <w:p w14:paraId="07224F6E" w14:textId="77777777" w:rsidR="000572E4" w:rsidRDefault="000572E4"/>
          <w:p w14:paraId="27BE4254" w14:textId="6896BAA9" w:rsidR="000572E4" w:rsidRDefault="000572E4">
            <w:r>
              <w:t>A method is given for the making of a tempera paint</w:t>
            </w:r>
            <w:r w:rsidR="00D16770">
              <w:t xml:space="preserve"> using egg yolk. </w:t>
            </w:r>
            <w:proofErr w:type="gramStart"/>
            <w:r w:rsidR="00D16770">
              <w:t>As long as</w:t>
            </w:r>
            <w:proofErr w:type="gramEnd"/>
            <w:r w:rsidR="00D16770">
              <w:t xml:space="preserve"> suitably laboratory hygiene such as handwashing, is observed, there is no significant risk </w:t>
            </w:r>
            <w:r w:rsidR="00F55413">
              <w:t>in this part of the activity.</w:t>
            </w:r>
          </w:p>
          <w:p w14:paraId="74A30861" w14:textId="78B9F17D" w:rsidR="006E2B6C" w:rsidRDefault="006E2B6C"/>
        </w:tc>
      </w:tr>
    </w:tbl>
    <w:p w14:paraId="72721866" w14:textId="77777777" w:rsidR="00762595" w:rsidRDefault="00762595" w:rsidP="00762595">
      <w:pPr>
        <w:rPr>
          <w:sz w:val="28"/>
        </w:rPr>
      </w:pPr>
    </w:p>
    <w:p w14:paraId="1E1F006F" w14:textId="77777777" w:rsidR="00762595" w:rsidRDefault="00762595" w:rsidP="00762595">
      <w:pPr>
        <w:rPr>
          <w:sz w:val="28"/>
        </w:rPr>
      </w:pPr>
    </w:p>
    <w:p w14:paraId="26607413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22E25FA9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EC46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3D55324" w14:textId="77777777" w:rsidR="000E609F" w:rsidRDefault="000E609F">
            <w:pPr>
              <w:rPr>
                <w:b/>
                <w:bCs/>
                <w:sz w:val="28"/>
              </w:rPr>
            </w:pPr>
          </w:p>
          <w:p w14:paraId="64EA2313" w14:textId="77777777" w:rsidR="000E609F" w:rsidRDefault="00B623A3">
            <w:r>
              <w:t>Disposal</w:t>
            </w:r>
          </w:p>
          <w:p w14:paraId="7B17971F" w14:textId="77777777" w:rsidR="00B623A3" w:rsidRDefault="00B623A3"/>
          <w:p w14:paraId="31FC655D" w14:textId="65A8E847" w:rsidR="00B623A3" w:rsidRDefault="00B623A3">
            <w:r>
              <w:t xml:space="preserve">Dark Red – </w:t>
            </w:r>
            <w:proofErr w:type="gramStart"/>
            <w:r>
              <w:t>as long as</w:t>
            </w:r>
            <w:proofErr w:type="gramEnd"/>
            <w:r>
              <w:t xml:space="preserve"> there is no blue left in the </w:t>
            </w:r>
            <w:r w:rsidR="00EF4995">
              <w:t>filtrate, it can be roughly neutralised and washed to waste.</w:t>
            </w:r>
          </w:p>
          <w:p w14:paraId="0F29C69C" w14:textId="0C7186E6" w:rsidR="00EF4995" w:rsidRDefault="00EF4995">
            <w:r>
              <w:t>Azurite/malachite – as above</w:t>
            </w:r>
            <w:r w:rsidR="00BD7DE9">
              <w:t xml:space="preserve"> but no neutralisation is needed.</w:t>
            </w:r>
          </w:p>
          <w:p w14:paraId="2F696CF4" w14:textId="77777777" w:rsidR="00EF4995" w:rsidRDefault="00EF4995">
            <w:r>
              <w:t xml:space="preserve">Cobalt violet – the quantities are given </w:t>
            </w:r>
            <w:r w:rsidR="00BD7DE9">
              <w:t>so that the phosphate is in excess and there will be no cobalt ions in the filtrate. It can be washed to waste with plenty of water.</w:t>
            </w:r>
          </w:p>
          <w:p w14:paraId="0BE31F7C" w14:textId="77777777" w:rsidR="00FD5F68" w:rsidRDefault="00FD5F68">
            <w:r>
              <w:t xml:space="preserve">Prussian blue – add </w:t>
            </w:r>
            <w:r w:rsidR="00EE6389">
              <w:t>excess iron solution to ensure all the hexacyanoferrate becomes Prussian blue. This can be washed to waste with plenty of water.</w:t>
            </w:r>
          </w:p>
          <w:p w14:paraId="417DC1A8" w14:textId="77777777" w:rsidR="00EE6389" w:rsidRDefault="00EE6389"/>
          <w:p w14:paraId="5D51B6E5" w14:textId="61E0CFC2" w:rsidR="00EE6389" w:rsidRDefault="00EE6389">
            <w:r>
              <w:t xml:space="preserve">Paint </w:t>
            </w:r>
            <w:r w:rsidR="007B589F">
              <w:t>– any left over can go in the bin.</w:t>
            </w:r>
          </w:p>
        </w:tc>
      </w:tr>
    </w:tbl>
    <w:p w14:paraId="617CA285" w14:textId="77777777" w:rsidR="00A0474C" w:rsidRDefault="00A0474C"/>
    <w:sectPr w:rsidR="00A0474C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23"/>
    <w:rsid w:val="000147A5"/>
    <w:rsid w:val="000572E4"/>
    <w:rsid w:val="000E609F"/>
    <w:rsid w:val="001D1C70"/>
    <w:rsid w:val="00391719"/>
    <w:rsid w:val="00393E7C"/>
    <w:rsid w:val="003C0123"/>
    <w:rsid w:val="003F3EA1"/>
    <w:rsid w:val="004268EE"/>
    <w:rsid w:val="005D09E1"/>
    <w:rsid w:val="005E4BDA"/>
    <w:rsid w:val="006E27A3"/>
    <w:rsid w:val="006E2B6C"/>
    <w:rsid w:val="00762595"/>
    <w:rsid w:val="007B589F"/>
    <w:rsid w:val="00897AAE"/>
    <w:rsid w:val="009601EF"/>
    <w:rsid w:val="00A0474C"/>
    <w:rsid w:val="00B623A3"/>
    <w:rsid w:val="00BA3643"/>
    <w:rsid w:val="00BD7DE9"/>
    <w:rsid w:val="00D16770"/>
    <w:rsid w:val="00D24C31"/>
    <w:rsid w:val="00DE3A65"/>
    <w:rsid w:val="00E7580E"/>
    <w:rsid w:val="00E82E1C"/>
    <w:rsid w:val="00EB7C10"/>
    <w:rsid w:val="00EE6389"/>
    <w:rsid w:val="00EF4995"/>
    <w:rsid w:val="00F31A31"/>
    <w:rsid w:val="00F55413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B880"/>
  <w15:chartTrackingRefBased/>
  <w15:docId w15:val="{E186B5C1-18C3-4370-9501-2BEB428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24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15</cp:revision>
  <dcterms:created xsi:type="dcterms:W3CDTF">2024-12-04T16:41:00Z</dcterms:created>
  <dcterms:modified xsi:type="dcterms:W3CDTF">2024-12-06T10:47:00Z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