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BBD3" w14:textId="0DB52B3D" w:rsidR="008D6B4B" w:rsidRDefault="004E0F62">
      <w:r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7A488073" wp14:editId="72444A44">
            <wp:simplePos x="0" y="0"/>
            <wp:positionH relativeFrom="column">
              <wp:posOffset>-68580</wp:posOffset>
            </wp:positionH>
            <wp:positionV relativeFrom="paragraph">
              <wp:posOffset>-69215</wp:posOffset>
            </wp:positionV>
            <wp:extent cx="1211776" cy="4800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ERC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776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0634C" w14:textId="77777777" w:rsidR="008D6B4B" w:rsidRDefault="008D6B4B"/>
    <w:p w14:paraId="207E25B1" w14:textId="77777777" w:rsidR="008D6B4B" w:rsidRDefault="008D6B4B"/>
    <w:p w14:paraId="2278AAEE" w14:textId="77777777" w:rsidR="008D6B4B" w:rsidRDefault="008D6B4B"/>
    <w:p w14:paraId="0A4225B6" w14:textId="77777777" w:rsidR="008D6B4B" w:rsidRDefault="008D6B4B"/>
    <w:p w14:paraId="26AD61E7" w14:textId="77777777" w:rsidR="008D6B4B" w:rsidRDefault="008D6B4B"/>
    <w:tbl>
      <w:tblPr>
        <w:tblpPr w:leftFromText="187" w:rightFromText="187" w:vertAnchor="page" w:horzAnchor="margin" w:tblpXSpec="right" w:tblpY="4987"/>
        <w:tblW w:w="2575" w:type="pct"/>
        <w:tblBorders>
          <w:top w:val="single" w:sz="36" w:space="0" w:color="365F91" w:themeColor="accent1" w:themeShade="BF"/>
          <w:bottom w:val="single" w:sz="36" w:space="0" w:color="365F91" w:themeColor="accent1" w:themeShade="BF"/>
          <w:insideH w:val="single" w:sz="36" w:space="0" w:color="365F91" w:themeColor="accent1" w:themeShade="BF"/>
          <w:insideV w:val="single" w:sz="36" w:space="0" w:color="31849B" w:themeColor="accent5" w:themeShade="BF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5374"/>
      </w:tblGrid>
      <w:tr w:rsidR="008D6B4B" w:rsidRPr="00B0170F" w14:paraId="432F7AE7" w14:textId="77777777" w:rsidTr="005D5F37">
        <w:tc>
          <w:tcPr>
            <w:tcW w:w="0" w:type="auto"/>
          </w:tcPr>
          <w:p w14:paraId="6491A9E4" w14:textId="2B63078D" w:rsidR="008D6B4B" w:rsidRPr="00B0170F" w:rsidRDefault="002F1B4A" w:rsidP="008D6B4B">
            <w:pPr>
              <w:rPr>
                <w:rFonts w:eastAsia="Calibri" w:cs="Times New Roman"/>
                <w:sz w:val="72"/>
                <w:szCs w:val="72"/>
              </w:rPr>
            </w:pPr>
            <w:r>
              <w:rPr>
                <w:sz w:val="72"/>
                <w:szCs w:val="72"/>
              </w:rPr>
              <w:t>Chemistry Skills</w:t>
            </w:r>
          </w:p>
        </w:tc>
      </w:tr>
      <w:tr w:rsidR="008D6B4B" w:rsidRPr="00B0170F" w14:paraId="4328F294" w14:textId="77777777" w:rsidTr="005D5F37">
        <w:trPr>
          <w:trHeight w:val="604"/>
        </w:trPr>
        <w:tc>
          <w:tcPr>
            <w:tcW w:w="0" w:type="auto"/>
          </w:tcPr>
          <w:p w14:paraId="57E9E5FD" w14:textId="4EB43439" w:rsidR="008D6B4B" w:rsidRPr="00B0170F" w:rsidRDefault="002F1B4A" w:rsidP="008D6B4B">
            <w:pPr>
              <w:rPr>
                <w:rFonts w:eastAsia="Calibri" w:cs="Times New Roman"/>
                <w:sz w:val="52"/>
                <w:szCs w:val="52"/>
              </w:rPr>
            </w:pPr>
            <w:r>
              <w:rPr>
                <w:sz w:val="52"/>
                <w:szCs w:val="52"/>
              </w:rPr>
              <w:t>Using a pH meter</w:t>
            </w:r>
          </w:p>
        </w:tc>
      </w:tr>
    </w:tbl>
    <w:p w14:paraId="14EEDF2D" w14:textId="77777777" w:rsidR="008D6B4B" w:rsidRDefault="008D6B4B"/>
    <w:p w14:paraId="2AF478CC" w14:textId="77777777" w:rsidR="008D6B4B" w:rsidRDefault="008D6B4B"/>
    <w:p w14:paraId="7FCAED77" w14:textId="77777777" w:rsidR="008D6B4B" w:rsidRDefault="008D6B4B"/>
    <w:p w14:paraId="2704F9C0" w14:textId="77777777" w:rsidR="008D6B4B" w:rsidRDefault="005A26D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FFD624B" wp14:editId="56B08D7E">
            <wp:simplePos x="0" y="0"/>
            <wp:positionH relativeFrom="column">
              <wp:posOffset>-16510</wp:posOffset>
            </wp:positionH>
            <wp:positionV relativeFrom="paragraph">
              <wp:posOffset>66040</wp:posOffset>
            </wp:positionV>
            <wp:extent cx="2924175" cy="2219325"/>
            <wp:effectExtent l="19050" t="0" r="9525" b="0"/>
            <wp:wrapSquare wrapText="bothSides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EDF69F" w14:textId="77777777" w:rsidR="008D6B4B" w:rsidRDefault="008D6B4B"/>
    <w:p w14:paraId="381AEA42" w14:textId="77777777" w:rsidR="008D6B4B" w:rsidRDefault="000D3941">
      <w:r>
        <w:br w:type="page"/>
      </w:r>
    </w:p>
    <w:p w14:paraId="7B99BE2A" w14:textId="1C1649AC" w:rsidR="00B358F7" w:rsidRPr="00E070ED" w:rsidRDefault="00D3228A" w:rsidP="00812BC3">
      <w:pPr>
        <w:pStyle w:val="Heading1"/>
      </w:pPr>
      <w:r>
        <w:t>Using a pH meter</w:t>
      </w:r>
    </w:p>
    <w:p w14:paraId="54214971" w14:textId="77777777" w:rsidR="00F8530D" w:rsidRDefault="00F8530D" w:rsidP="00812BC3">
      <w:pPr>
        <w:pStyle w:val="Heading2"/>
      </w:pPr>
      <w:r>
        <w:t>Introduction</w:t>
      </w:r>
    </w:p>
    <w:p w14:paraId="20200F98" w14:textId="77777777" w:rsidR="00FA7F23" w:rsidRDefault="00F8530D" w:rsidP="00B358F7">
      <w:r w:rsidRPr="00F8530D">
        <w:t>This experiment uses buffer solutions to prepare a series of solutions of 10 different pH values.</w:t>
      </w:r>
      <w:r w:rsidR="00C83A3C">
        <w:t xml:space="preserve"> To make it relatively simple, the process involves mixing different proportions of just </w:t>
      </w:r>
      <w:r w:rsidR="00FA7F23">
        <w:t>2 base buffers.</w:t>
      </w:r>
      <w:r w:rsidRPr="00F8530D">
        <w:t xml:space="preserve"> </w:t>
      </w:r>
    </w:p>
    <w:p w14:paraId="1C0B5B61" w14:textId="1C378296" w:rsidR="00F8530D" w:rsidRPr="00F8530D" w:rsidRDefault="00F8530D" w:rsidP="00B358F7">
      <w:r w:rsidRPr="00F8530D">
        <w:t xml:space="preserve">You can then use these </w:t>
      </w:r>
      <w:r w:rsidR="00FA7F23">
        <w:t>either for simple pH measurements or to</w:t>
      </w:r>
      <w:r w:rsidRPr="00F8530D">
        <w:t xml:space="preserve"> more closely investigate the colour changes of indicators, both commercial and natural ones prepared from plants.</w:t>
      </w:r>
    </w:p>
    <w:p w14:paraId="7ABD5E38" w14:textId="77777777" w:rsidR="00B358F7" w:rsidRDefault="00B358F7" w:rsidP="00812BC3">
      <w:pPr>
        <w:pStyle w:val="Heading2"/>
      </w:pPr>
      <w:r w:rsidRPr="000D3941"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358F7" w:rsidRPr="000D3941" w14:paraId="497FF021" w14:textId="77777777" w:rsidTr="00B358F7">
        <w:tc>
          <w:tcPr>
            <w:tcW w:w="4621" w:type="dxa"/>
          </w:tcPr>
          <w:p w14:paraId="4DD47D35" w14:textId="77777777" w:rsidR="00B358F7" w:rsidRPr="000D3941" w:rsidRDefault="00B358F7" w:rsidP="00E070ED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Comb</w:t>
            </w:r>
            <w:r w:rsidR="00E070ED">
              <w:rPr>
                <w:szCs w:val="24"/>
              </w:rPr>
              <w:t>o</w:t>
            </w:r>
            <w:r>
              <w:rPr>
                <w:szCs w:val="24"/>
              </w:rPr>
              <w:t>-plate*</w:t>
            </w:r>
            <w:r w:rsidRPr="000D3941">
              <w:rPr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6BD445A0" w14:textId="77777777" w:rsidR="00B358F7" w:rsidRPr="000D3941" w:rsidRDefault="006103A0" w:rsidP="00B358F7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Indicators or plant extracts</w:t>
            </w:r>
          </w:p>
        </w:tc>
      </w:tr>
      <w:tr w:rsidR="00B358F7" w:rsidRPr="000D3941" w14:paraId="678D5AA2" w14:textId="77777777" w:rsidTr="00B358F7">
        <w:tc>
          <w:tcPr>
            <w:tcW w:w="4621" w:type="dxa"/>
          </w:tcPr>
          <w:p w14:paraId="4C2BF622" w14:textId="77777777" w:rsidR="00B358F7" w:rsidRPr="000D3941" w:rsidRDefault="003179CF" w:rsidP="00B358F7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Solution A – Dissolve 3.1g of boric acid + 2.86g of citric acid make up to 250cm</w:t>
            </w:r>
            <w:r w:rsidRPr="003179CF"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 xml:space="preserve"> with distilled water.</w:t>
            </w:r>
          </w:p>
        </w:tc>
        <w:tc>
          <w:tcPr>
            <w:tcW w:w="4621" w:type="dxa"/>
          </w:tcPr>
          <w:p w14:paraId="4D8E4F84" w14:textId="77777777" w:rsidR="00B358F7" w:rsidRPr="003179CF" w:rsidRDefault="003179CF" w:rsidP="003179CF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Solution B –</w:t>
            </w:r>
            <w:r w:rsidRPr="003179C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Dissolve </w:t>
            </w:r>
            <w:r w:rsidRPr="003179CF">
              <w:rPr>
                <w:szCs w:val="24"/>
              </w:rPr>
              <w:t>9.0 g of disodium hydrogen phosphate-12</w:t>
            </w:r>
            <w:r>
              <w:rPr>
                <w:szCs w:val="24"/>
              </w:rPr>
              <w:t>-water and</w:t>
            </w:r>
            <w:r w:rsidRPr="003179CF">
              <w:rPr>
                <w:szCs w:val="24"/>
              </w:rPr>
              <w:t xml:space="preserve"> 1 g of sodium</w:t>
            </w:r>
            <w:r>
              <w:rPr>
                <w:szCs w:val="24"/>
              </w:rPr>
              <w:t xml:space="preserve"> hydroxide make up to</w:t>
            </w:r>
            <w:r w:rsidRPr="003179CF">
              <w:rPr>
                <w:szCs w:val="24"/>
              </w:rPr>
              <w:t xml:space="preserve"> 250 cm</w:t>
            </w:r>
            <w:r w:rsidRPr="003179CF">
              <w:rPr>
                <w:szCs w:val="24"/>
                <w:vertAlign w:val="superscript"/>
              </w:rPr>
              <w:t>3</w:t>
            </w:r>
            <w:r>
              <w:rPr>
                <w:szCs w:val="24"/>
                <w:vertAlign w:val="superscript"/>
              </w:rPr>
              <w:t xml:space="preserve"> </w:t>
            </w:r>
            <w:r>
              <w:rPr>
                <w:szCs w:val="24"/>
              </w:rPr>
              <w:t>with distilled water.</w:t>
            </w:r>
          </w:p>
        </w:tc>
      </w:tr>
      <w:tr w:rsidR="00B358F7" w:rsidRPr="000D3941" w14:paraId="2EBFEB62" w14:textId="77777777" w:rsidTr="00B358F7">
        <w:tc>
          <w:tcPr>
            <w:tcW w:w="4621" w:type="dxa"/>
          </w:tcPr>
          <w:p w14:paraId="34DAF755" w14:textId="155D86F1" w:rsidR="00B358F7" w:rsidRPr="000D3941" w:rsidRDefault="006103A0" w:rsidP="00B358F7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pH meter</w:t>
            </w:r>
            <w:r w:rsidR="00A76330">
              <w:rPr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4F4F42BB" w14:textId="77777777" w:rsidR="00B358F7" w:rsidRPr="000D3941" w:rsidRDefault="005C15BA" w:rsidP="00B358F7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Results sheet (on next page)</w:t>
            </w:r>
          </w:p>
        </w:tc>
      </w:tr>
    </w:tbl>
    <w:p w14:paraId="13B5D437" w14:textId="77777777" w:rsidR="006103A0" w:rsidRDefault="006103A0" w:rsidP="00B358F7"/>
    <w:p w14:paraId="419AEBA4" w14:textId="75121B83" w:rsidR="00B358F7" w:rsidRDefault="00B358F7" w:rsidP="00B358F7">
      <w:r w:rsidRPr="000136E7">
        <w:t>(</w:t>
      </w:r>
      <w:r>
        <w:t>*</w:t>
      </w:r>
      <w:r w:rsidRPr="000136E7">
        <w:t>this i</w:t>
      </w:r>
      <w:r w:rsidR="005A26D0">
        <w:t>s most easily done using a combo</w:t>
      </w:r>
      <w:r w:rsidR="006103A0">
        <w:t>-plate but, while convenient, they are not essential. The buffers could be prepared in test tubes or vials</w:t>
      </w:r>
      <w:r w:rsidR="007265FF">
        <w:t>)</w:t>
      </w:r>
    </w:p>
    <w:p w14:paraId="6F4ECC1D" w14:textId="77777777" w:rsidR="006103A0" w:rsidRDefault="006103A0" w:rsidP="00B358F7">
      <w:pPr>
        <w:rPr>
          <w:b/>
        </w:rPr>
      </w:pPr>
    </w:p>
    <w:p w14:paraId="3CF97710" w14:textId="77777777" w:rsidR="005C15BA" w:rsidRPr="005C15BA" w:rsidRDefault="005C15BA" w:rsidP="00812BC3">
      <w:pPr>
        <w:pStyle w:val="Heading2"/>
      </w:pPr>
      <w:r w:rsidRPr="005C15BA">
        <w:t>Health &amp; Safety</w:t>
      </w:r>
    </w:p>
    <w:p w14:paraId="49596479" w14:textId="77777777" w:rsidR="00B358F7" w:rsidRDefault="003179CF" w:rsidP="00B358F7">
      <w:pPr>
        <w:rPr>
          <w:i/>
        </w:rPr>
      </w:pPr>
      <w:r>
        <w:rPr>
          <w:i/>
        </w:rPr>
        <w:t>Solution B is irritant. Wear</w:t>
      </w:r>
      <w:r w:rsidR="00B358F7">
        <w:rPr>
          <w:i/>
        </w:rPr>
        <w:t xml:space="preserve"> eye protection.</w:t>
      </w:r>
    </w:p>
    <w:p w14:paraId="40D1B55C" w14:textId="77777777" w:rsidR="006103A0" w:rsidRDefault="006103A0" w:rsidP="00B358F7">
      <w:pPr>
        <w:rPr>
          <w:b/>
        </w:rPr>
      </w:pPr>
    </w:p>
    <w:p w14:paraId="48275CD8" w14:textId="77777777" w:rsidR="005C15BA" w:rsidRPr="005C15BA" w:rsidRDefault="005C15BA" w:rsidP="00812BC3">
      <w:pPr>
        <w:pStyle w:val="Heading2"/>
      </w:pPr>
      <w:r w:rsidRPr="005C15BA">
        <w:t>Preparation</w:t>
      </w:r>
    </w:p>
    <w:p w14:paraId="1334CC55" w14:textId="77777777" w:rsidR="008D3072" w:rsidRDefault="00404CA7" w:rsidP="005C15BA">
      <w:pPr>
        <w:pStyle w:val="ListParagraph"/>
        <w:numPr>
          <w:ilvl w:val="0"/>
          <w:numId w:val="9"/>
        </w:numPr>
        <w:ind w:left="357" w:hanging="357"/>
        <w:contextualSpacing w:val="0"/>
      </w:pPr>
      <w:r w:rsidRPr="005C15BA">
        <w:t xml:space="preserve">Using a Pasteur pipette, </w:t>
      </w:r>
    </w:p>
    <w:p w14:paraId="29219CD1" w14:textId="62352293" w:rsidR="00404CA7" w:rsidRPr="005C15BA" w:rsidRDefault="00C02BC3" w:rsidP="00C02BC3">
      <w:pPr>
        <w:pStyle w:val="ListParagraph"/>
        <w:numPr>
          <w:ilvl w:val="1"/>
          <w:numId w:val="9"/>
        </w:numPr>
        <w:contextualSpacing w:val="0"/>
      </w:pPr>
      <w:r>
        <w:t xml:space="preserve">If using a combi-plate, </w:t>
      </w:r>
      <w:r w:rsidR="00404CA7" w:rsidRPr="005C15BA">
        <w:t xml:space="preserve">fill the two rows of </w:t>
      </w:r>
      <w:r w:rsidR="00404CA7" w:rsidRPr="005C15BA">
        <w:rPr>
          <w:b/>
        </w:rPr>
        <w:t>larger</w:t>
      </w:r>
      <w:r w:rsidR="00404CA7" w:rsidRPr="005C15BA">
        <w:t xml:space="preserve"> wells as follows</w:t>
      </w:r>
      <w:r w:rsidR="00310690">
        <w:t>*</w:t>
      </w:r>
    </w:p>
    <w:tbl>
      <w:tblPr>
        <w:tblStyle w:val="TableGrid"/>
        <w:tblW w:w="8046" w:type="dxa"/>
        <w:tblInd w:w="1087" w:type="dxa"/>
        <w:tblLayout w:type="fixed"/>
        <w:tblLook w:val="04A0" w:firstRow="1" w:lastRow="0" w:firstColumn="1" w:lastColumn="0" w:noHBand="0" w:noVBand="1"/>
      </w:tblPr>
      <w:tblGrid>
        <w:gridCol w:w="510"/>
        <w:gridCol w:w="3284"/>
        <w:gridCol w:w="283"/>
        <w:gridCol w:w="851"/>
        <w:gridCol w:w="3118"/>
      </w:tblGrid>
      <w:tr w:rsidR="00404CA7" w14:paraId="428C3484" w14:textId="77777777" w:rsidTr="005C15BA">
        <w:tc>
          <w:tcPr>
            <w:tcW w:w="510" w:type="dxa"/>
            <w:shd w:val="clear" w:color="auto" w:fill="CCC0D9" w:themeFill="accent4" w:themeFillTint="66"/>
          </w:tcPr>
          <w:p w14:paraId="0989C94F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  <w:rPr>
                <w:b/>
              </w:rPr>
            </w:pPr>
            <w:r w:rsidRPr="00655740">
              <w:rPr>
                <w:b/>
              </w:rPr>
              <w:t>E1</w:t>
            </w:r>
          </w:p>
        </w:tc>
        <w:tc>
          <w:tcPr>
            <w:tcW w:w="3284" w:type="dxa"/>
            <w:shd w:val="clear" w:color="auto" w:fill="CCC0D9" w:themeFill="accent4" w:themeFillTint="66"/>
          </w:tcPr>
          <w:p w14:paraId="05FC84D7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</w:pPr>
            <w:r w:rsidRPr="00655740">
              <w:t xml:space="preserve">20 drops of </w:t>
            </w:r>
            <w:r w:rsidRPr="00655740">
              <w:rPr>
                <w:b/>
              </w:rPr>
              <w:t>A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14:paraId="4380D4DE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  <w:rPr>
                <w:b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40731B4B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  <w:rPr>
                <w:b/>
              </w:rPr>
            </w:pPr>
            <w:r w:rsidRPr="00655740">
              <w:rPr>
                <w:b/>
              </w:rPr>
              <w:t>F1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14:paraId="1AEAF380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</w:pPr>
            <w:r w:rsidRPr="00655740">
              <w:t xml:space="preserve">8 drops of </w:t>
            </w:r>
            <w:r w:rsidRPr="00655740">
              <w:rPr>
                <w:b/>
              </w:rPr>
              <w:t>A</w:t>
            </w:r>
            <w:r w:rsidRPr="00655740">
              <w:t xml:space="preserve"> + 12 drops of </w:t>
            </w:r>
            <w:r w:rsidRPr="00655740">
              <w:rPr>
                <w:b/>
              </w:rPr>
              <w:t>B</w:t>
            </w:r>
          </w:p>
        </w:tc>
      </w:tr>
      <w:tr w:rsidR="00404CA7" w14:paraId="192BC073" w14:textId="77777777" w:rsidTr="005C15BA">
        <w:trPr>
          <w:trHeight w:val="397"/>
        </w:trPr>
        <w:tc>
          <w:tcPr>
            <w:tcW w:w="510" w:type="dxa"/>
            <w:shd w:val="clear" w:color="auto" w:fill="CCC0D9" w:themeFill="accent4" w:themeFillTint="66"/>
          </w:tcPr>
          <w:p w14:paraId="17C77C94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  <w:rPr>
                <w:b/>
              </w:rPr>
            </w:pPr>
            <w:r w:rsidRPr="00655740">
              <w:rPr>
                <w:b/>
              </w:rPr>
              <w:t>E2</w:t>
            </w:r>
          </w:p>
        </w:tc>
        <w:tc>
          <w:tcPr>
            <w:tcW w:w="3284" w:type="dxa"/>
            <w:shd w:val="clear" w:color="auto" w:fill="CCC0D9" w:themeFill="accent4" w:themeFillTint="66"/>
          </w:tcPr>
          <w:p w14:paraId="5B02FE53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</w:pPr>
            <w:r w:rsidRPr="00655740">
              <w:t xml:space="preserve">18 drops of </w:t>
            </w:r>
            <w:r w:rsidRPr="00655740">
              <w:rPr>
                <w:b/>
              </w:rPr>
              <w:t>A</w:t>
            </w:r>
            <w:r w:rsidRPr="00655740">
              <w:t xml:space="preserve"> + 2 drops of </w:t>
            </w:r>
            <w:r w:rsidRPr="00655740">
              <w:rPr>
                <w:b/>
              </w:rPr>
              <w:t>B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14:paraId="1CE397B6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  <w:rPr>
                <w:b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623FE79F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  <w:rPr>
                <w:b/>
              </w:rPr>
            </w:pPr>
            <w:r w:rsidRPr="00655740">
              <w:rPr>
                <w:b/>
              </w:rPr>
              <w:t>F2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14:paraId="48A5BC0B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</w:pPr>
            <w:r w:rsidRPr="00655740">
              <w:t xml:space="preserve">6 drops of </w:t>
            </w:r>
            <w:r w:rsidRPr="00655740">
              <w:rPr>
                <w:b/>
              </w:rPr>
              <w:t>A</w:t>
            </w:r>
            <w:r w:rsidRPr="00655740">
              <w:t xml:space="preserve"> + 14 drops of </w:t>
            </w:r>
            <w:r w:rsidRPr="00655740">
              <w:rPr>
                <w:b/>
              </w:rPr>
              <w:t>B</w:t>
            </w:r>
          </w:p>
        </w:tc>
      </w:tr>
      <w:tr w:rsidR="00404CA7" w14:paraId="1093B8AB" w14:textId="77777777" w:rsidTr="005C15BA">
        <w:tc>
          <w:tcPr>
            <w:tcW w:w="510" w:type="dxa"/>
            <w:shd w:val="clear" w:color="auto" w:fill="CCC0D9" w:themeFill="accent4" w:themeFillTint="66"/>
          </w:tcPr>
          <w:p w14:paraId="3E82B612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  <w:rPr>
                <w:b/>
              </w:rPr>
            </w:pPr>
            <w:r w:rsidRPr="00655740">
              <w:rPr>
                <w:b/>
              </w:rPr>
              <w:t>E3</w:t>
            </w:r>
          </w:p>
        </w:tc>
        <w:tc>
          <w:tcPr>
            <w:tcW w:w="3284" w:type="dxa"/>
            <w:shd w:val="clear" w:color="auto" w:fill="CCC0D9" w:themeFill="accent4" w:themeFillTint="66"/>
          </w:tcPr>
          <w:p w14:paraId="378FB684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</w:pPr>
            <w:r w:rsidRPr="00655740">
              <w:t xml:space="preserve">16 drops of </w:t>
            </w:r>
            <w:r w:rsidRPr="00655740">
              <w:rPr>
                <w:b/>
              </w:rPr>
              <w:t>A</w:t>
            </w:r>
            <w:r w:rsidRPr="00655740">
              <w:t xml:space="preserve"> + 4 drops of </w:t>
            </w:r>
            <w:r w:rsidRPr="00655740">
              <w:rPr>
                <w:b/>
              </w:rPr>
              <w:t>B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14:paraId="1F59C7F6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  <w:rPr>
                <w:b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5258F252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  <w:rPr>
                <w:b/>
              </w:rPr>
            </w:pPr>
            <w:r w:rsidRPr="00655740">
              <w:rPr>
                <w:b/>
              </w:rPr>
              <w:t>F3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14:paraId="39551858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</w:pPr>
            <w:r w:rsidRPr="00655740">
              <w:t xml:space="preserve">4 drops of </w:t>
            </w:r>
            <w:r w:rsidRPr="00655740">
              <w:rPr>
                <w:b/>
              </w:rPr>
              <w:t>A</w:t>
            </w:r>
            <w:r w:rsidRPr="00655740">
              <w:t xml:space="preserve"> + 16 drops of </w:t>
            </w:r>
            <w:r w:rsidRPr="00655740">
              <w:rPr>
                <w:b/>
              </w:rPr>
              <w:t>B</w:t>
            </w:r>
          </w:p>
        </w:tc>
      </w:tr>
      <w:tr w:rsidR="00404CA7" w14:paraId="54637290" w14:textId="77777777" w:rsidTr="005C15BA">
        <w:tc>
          <w:tcPr>
            <w:tcW w:w="510" w:type="dxa"/>
            <w:shd w:val="clear" w:color="auto" w:fill="CCC0D9" w:themeFill="accent4" w:themeFillTint="66"/>
          </w:tcPr>
          <w:p w14:paraId="0E2043A7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  <w:rPr>
                <w:b/>
              </w:rPr>
            </w:pPr>
            <w:r w:rsidRPr="00655740">
              <w:rPr>
                <w:b/>
              </w:rPr>
              <w:t>E4</w:t>
            </w:r>
          </w:p>
        </w:tc>
        <w:tc>
          <w:tcPr>
            <w:tcW w:w="3284" w:type="dxa"/>
            <w:shd w:val="clear" w:color="auto" w:fill="CCC0D9" w:themeFill="accent4" w:themeFillTint="66"/>
          </w:tcPr>
          <w:p w14:paraId="06D014BE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</w:pPr>
            <w:r w:rsidRPr="00655740">
              <w:t xml:space="preserve">14 drops of </w:t>
            </w:r>
            <w:r w:rsidRPr="00655740">
              <w:rPr>
                <w:b/>
              </w:rPr>
              <w:t>A</w:t>
            </w:r>
            <w:r w:rsidRPr="00655740">
              <w:t xml:space="preserve"> + 6 drops of </w:t>
            </w:r>
            <w:r w:rsidRPr="00655740">
              <w:rPr>
                <w:b/>
              </w:rPr>
              <w:t>B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14:paraId="77B883E7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  <w:rPr>
                <w:b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7CA92EAC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  <w:rPr>
                <w:b/>
              </w:rPr>
            </w:pPr>
            <w:r w:rsidRPr="00655740">
              <w:rPr>
                <w:b/>
              </w:rPr>
              <w:t>F4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14:paraId="01708322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</w:pPr>
            <w:r w:rsidRPr="00655740">
              <w:t xml:space="preserve">2 drops of </w:t>
            </w:r>
            <w:r w:rsidRPr="00655740">
              <w:rPr>
                <w:b/>
              </w:rPr>
              <w:t>A</w:t>
            </w:r>
            <w:r w:rsidRPr="00655740">
              <w:t xml:space="preserve"> + 18 drops of </w:t>
            </w:r>
            <w:r w:rsidRPr="00655740">
              <w:rPr>
                <w:b/>
              </w:rPr>
              <w:t>B</w:t>
            </w:r>
          </w:p>
        </w:tc>
      </w:tr>
      <w:tr w:rsidR="00404CA7" w14:paraId="5F1E46EA" w14:textId="77777777" w:rsidTr="005C15BA">
        <w:tc>
          <w:tcPr>
            <w:tcW w:w="510" w:type="dxa"/>
            <w:shd w:val="clear" w:color="auto" w:fill="CCC0D9" w:themeFill="accent4" w:themeFillTint="66"/>
          </w:tcPr>
          <w:p w14:paraId="062ED589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  <w:rPr>
                <w:b/>
              </w:rPr>
            </w:pPr>
            <w:r w:rsidRPr="00655740">
              <w:rPr>
                <w:b/>
              </w:rPr>
              <w:t>E5</w:t>
            </w:r>
          </w:p>
        </w:tc>
        <w:tc>
          <w:tcPr>
            <w:tcW w:w="3284" w:type="dxa"/>
            <w:shd w:val="clear" w:color="auto" w:fill="CCC0D9" w:themeFill="accent4" w:themeFillTint="66"/>
          </w:tcPr>
          <w:p w14:paraId="4DC291D4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</w:pPr>
            <w:r w:rsidRPr="00655740">
              <w:t xml:space="preserve">12 drops of </w:t>
            </w:r>
            <w:r w:rsidRPr="00655740">
              <w:rPr>
                <w:b/>
              </w:rPr>
              <w:t>A</w:t>
            </w:r>
            <w:r w:rsidRPr="00655740">
              <w:t xml:space="preserve"> + 8 drops of </w:t>
            </w:r>
            <w:r w:rsidRPr="00655740">
              <w:rPr>
                <w:b/>
              </w:rPr>
              <w:t>B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14:paraId="3C616089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  <w:rPr>
                <w:b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7EC13E88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  <w:rPr>
                <w:b/>
              </w:rPr>
            </w:pPr>
            <w:r w:rsidRPr="00655740">
              <w:rPr>
                <w:b/>
              </w:rPr>
              <w:t>F5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14:paraId="5688F4A5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  <w:ind w:left="360" w:hanging="360"/>
            </w:pPr>
            <w:r w:rsidRPr="00655740">
              <w:t xml:space="preserve">20 drops of </w:t>
            </w:r>
            <w:r w:rsidRPr="00655740">
              <w:rPr>
                <w:b/>
              </w:rPr>
              <w:t>B</w:t>
            </w:r>
          </w:p>
        </w:tc>
      </w:tr>
      <w:tr w:rsidR="00404CA7" w14:paraId="7C6099F9" w14:textId="77777777" w:rsidTr="005C15BA">
        <w:tc>
          <w:tcPr>
            <w:tcW w:w="510" w:type="dxa"/>
            <w:shd w:val="clear" w:color="auto" w:fill="CCC0D9" w:themeFill="accent4" w:themeFillTint="66"/>
          </w:tcPr>
          <w:p w14:paraId="27936B35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  <w:rPr>
                <w:b/>
              </w:rPr>
            </w:pPr>
            <w:r w:rsidRPr="00655740">
              <w:rPr>
                <w:b/>
              </w:rPr>
              <w:t>E6</w:t>
            </w:r>
          </w:p>
        </w:tc>
        <w:tc>
          <w:tcPr>
            <w:tcW w:w="3284" w:type="dxa"/>
            <w:shd w:val="clear" w:color="auto" w:fill="CCC0D9" w:themeFill="accent4" w:themeFillTint="66"/>
          </w:tcPr>
          <w:p w14:paraId="5D848ED1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</w:pPr>
            <w:r w:rsidRPr="00655740">
              <w:t xml:space="preserve">10 drops of </w:t>
            </w:r>
            <w:r w:rsidRPr="00655740">
              <w:rPr>
                <w:b/>
              </w:rPr>
              <w:t>A</w:t>
            </w:r>
            <w:r w:rsidRPr="00655740">
              <w:t xml:space="preserve"> +</w:t>
            </w:r>
            <w:r>
              <w:t xml:space="preserve"> 10 drops </w:t>
            </w:r>
            <w:r w:rsidRPr="00655740">
              <w:t xml:space="preserve">of </w:t>
            </w:r>
            <w:r w:rsidRPr="00655740">
              <w:rPr>
                <w:b/>
              </w:rPr>
              <w:t>B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14:paraId="4167DB77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  <w:rPr>
                <w:b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485B4184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  <w:rPr>
                <w:b/>
              </w:rPr>
            </w:pPr>
            <w:r w:rsidRPr="00655740">
              <w:rPr>
                <w:b/>
              </w:rPr>
              <w:t>F6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14:paraId="6FED4442" w14:textId="77777777" w:rsidR="00404CA7" w:rsidRPr="00655740" w:rsidRDefault="00404CA7" w:rsidP="00404CA7">
            <w:pPr>
              <w:pStyle w:val="Bunyanbullet"/>
              <w:numPr>
                <w:ilvl w:val="0"/>
                <w:numId w:val="0"/>
              </w:numPr>
              <w:spacing w:before="60" w:after="60" w:line="280" w:lineRule="exact"/>
              <w:ind w:left="360" w:hanging="360"/>
            </w:pPr>
            <w:r w:rsidRPr="00655740">
              <w:t>empty</w:t>
            </w:r>
          </w:p>
        </w:tc>
      </w:tr>
    </w:tbl>
    <w:p w14:paraId="20FFEB5B" w14:textId="3F22575A" w:rsidR="005C15BA" w:rsidRDefault="007431D5" w:rsidP="00C02BC3">
      <w:pPr>
        <w:pStyle w:val="ListParagraph"/>
        <w:numPr>
          <w:ilvl w:val="1"/>
          <w:numId w:val="9"/>
        </w:numPr>
        <w:spacing w:before="120"/>
        <w:ind w:left="1077" w:hanging="357"/>
        <w:contextualSpacing w:val="0"/>
      </w:pPr>
      <w:r>
        <w:t>Alternatively, use 12 test-tubes</w:t>
      </w:r>
      <w:r w:rsidR="00704FAB">
        <w:t xml:space="preserve"> or bijoux</w:t>
      </w:r>
    </w:p>
    <w:p w14:paraId="14F4CC51" w14:textId="7D9087C7" w:rsidR="005C15BA" w:rsidRDefault="005C15BA" w:rsidP="005C15BA">
      <w:pPr>
        <w:pStyle w:val="ListParagraph"/>
        <w:numPr>
          <w:ilvl w:val="0"/>
          <w:numId w:val="9"/>
        </w:numPr>
        <w:ind w:left="357" w:hanging="357"/>
        <w:contextualSpacing w:val="0"/>
      </w:pPr>
      <w:r w:rsidRPr="005C15BA">
        <w:t>Add water to each of the wells so the level is about 3mm from the top</w:t>
      </w:r>
      <w:r w:rsidR="00A05AFD">
        <w:t xml:space="preserve"> </w:t>
      </w:r>
      <w:r w:rsidR="004513EB">
        <w:t>–</w:t>
      </w:r>
      <w:r w:rsidR="00A05AFD">
        <w:t xml:space="preserve"> </w:t>
      </w:r>
      <w:r w:rsidR="004513EB">
        <w:t xml:space="preserve">this will take about 1.5 – 2.0 </w:t>
      </w:r>
      <w:r w:rsidR="004513EB" w:rsidRPr="00753C84">
        <w:t>cm</w:t>
      </w:r>
      <w:r w:rsidR="004513EB" w:rsidRPr="00753C84">
        <w:rPr>
          <w:vertAlign w:val="superscript"/>
        </w:rPr>
        <w:t>3</w:t>
      </w:r>
      <w:r w:rsidR="004513EB">
        <w:t xml:space="preserve"> </w:t>
      </w:r>
    </w:p>
    <w:p w14:paraId="7E891275" w14:textId="075BA77D" w:rsidR="004513EB" w:rsidRPr="00216334" w:rsidRDefault="004513EB" w:rsidP="004513EB">
      <w:pPr>
        <w:pStyle w:val="ListParagraph"/>
        <w:ind w:left="357"/>
        <w:contextualSpacing w:val="0"/>
        <w:rPr>
          <w:i/>
          <w:iCs/>
        </w:rPr>
      </w:pPr>
      <w:r w:rsidRPr="00216334">
        <w:rPr>
          <w:i/>
          <w:iCs/>
        </w:rPr>
        <w:t xml:space="preserve">If you are using </w:t>
      </w:r>
      <w:r w:rsidR="00AE5C88" w:rsidRPr="00216334">
        <w:rPr>
          <w:i/>
          <w:iCs/>
        </w:rPr>
        <w:t>test tubes or bi</w:t>
      </w:r>
      <w:r w:rsidR="00996652" w:rsidRPr="00216334">
        <w:rPr>
          <w:i/>
          <w:iCs/>
        </w:rPr>
        <w:t xml:space="preserve">joux, you will </w:t>
      </w:r>
      <w:r w:rsidR="007275B1" w:rsidRPr="00216334">
        <w:rPr>
          <w:i/>
          <w:iCs/>
        </w:rPr>
        <w:t xml:space="preserve">need to make sure that </w:t>
      </w:r>
      <w:r w:rsidR="00310690" w:rsidRPr="00216334">
        <w:rPr>
          <w:i/>
          <w:iCs/>
        </w:rPr>
        <w:t>they are deep enough to cover the pH electrode to the required depth.</w:t>
      </w:r>
    </w:p>
    <w:p w14:paraId="73454ACA" w14:textId="05145240" w:rsidR="00845297" w:rsidRPr="00216334" w:rsidRDefault="00310690" w:rsidP="00845297">
      <w:pPr>
        <w:pStyle w:val="ListParagraph"/>
        <w:ind w:left="357"/>
        <w:contextualSpacing w:val="0"/>
        <w:rPr>
          <w:i/>
          <w:iCs/>
        </w:rPr>
      </w:pPr>
      <w:r w:rsidRPr="00216334">
        <w:rPr>
          <w:i/>
          <w:iCs/>
        </w:rPr>
        <w:t xml:space="preserve">* If </w:t>
      </w:r>
      <w:r w:rsidR="00FC1A00" w:rsidRPr="00216334">
        <w:rPr>
          <w:i/>
          <w:iCs/>
        </w:rPr>
        <w:t xml:space="preserve">the volumes here are not sufficient, </w:t>
      </w:r>
      <w:r w:rsidR="009D719F" w:rsidRPr="00216334">
        <w:rPr>
          <w:i/>
          <w:iCs/>
        </w:rPr>
        <w:t xml:space="preserve">you can simply double the number of drops in the table above. Or </w:t>
      </w:r>
      <w:r w:rsidR="005C59C2" w:rsidRPr="00216334">
        <w:rPr>
          <w:i/>
          <w:iCs/>
        </w:rPr>
        <w:t>make up lar</w:t>
      </w:r>
      <w:r w:rsidR="00216334" w:rsidRPr="00216334">
        <w:rPr>
          <w:i/>
          <w:iCs/>
        </w:rPr>
        <w:t>g</w:t>
      </w:r>
      <w:r w:rsidR="005C59C2" w:rsidRPr="00216334">
        <w:rPr>
          <w:i/>
          <w:iCs/>
        </w:rPr>
        <w:t xml:space="preserve">er volumes </w:t>
      </w:r>
      <w:r w:rsidR="00216334" w:rsidRPr="00216334">
        <w:rPr>
          <w:i/>
          <w:iCs/>
        </w:rPr>
        <w:t>using the same ratios.</w:t>
      </w:r>
    </w:p>
    <w:p w14:paraId="6ADECAB5" w14:textId="77777777" w:rsidR="00216334" w:rsidRDefault="00216334">
      <w:pPr>
        <w:rPr>
          <w:rFonts w:cstheme="majorBidi"/>
          <w:b/>
          <w:bCs/>
          <w:color w:val="2F5496"/>
          <w:sz w:val="26"/>
          <w:szCs w:val="26"/>
        </w:rPr>
      </w:pPr>
      <w:r>
        <w:br w:type="page"/>
      </w:r>
    </w:p>
    <w:p w14:paraId="21966F43" w14:textId="77A40849" w:rsidR="00812BC3" w:rsidRPr="005C15BA" w:rsidRDefault="00845297" w:rsidP="00845297">
      <w:pPr>
        <w:pStyle w:val="Heading2"/>
        <w:rPr>
          <w:szCs w:val="24"/>
        </w:rPr>
      </w:pPr>
      <w:r>
        <w:t>Measuring pH</w:t>
      </w:r>
    </w:p>
    <w:p w14:paraId="0E4EF321" w14:textId="0E349E7E" w:rsidR="005C15BA" w:rsidRDefault="005C15BA" w:rsidP="005C15BA">
      <w:pPr>
        <w:pStyle w:val="ListParagraph"/>
        <w:numPr>
          <w:ilvl w:val="0"/>
          <w:numId w:val="9"/>
        </w:numPr>
        <w:ind w:left="357" w:hanging="357"/>
        <w:contextualSpacing w:val="0"/>
      </w:pPr>
      <w:r w:rsidRPr="005C15BA">
        <w:t>Rinse a pH meter in clean water. Remove as much water as possible then dip it into the liquid in well E1</w:t>
      </w:r>
      <w:r w:rsidR="00216334">
        <w:t xml:space="preserve"> (or whichever is your first tube)</w:t>
      </w:r>
      <w:r w:rsidRPr="005C15BA">
        <w:t>. Note the reading (to 1 decimal place).</w:t>
      </w:r>
    </w:p>
    <w:p w14:paraId="0D53C923" w14:textId="369A1C62" w:rsidR="008D3072" w:rsidRPr="005C15BA" w:rsidRDefault="008D3072" w:rsidP="005C15BA">
      <w:pPr>
        <w:pStyle w:val="ListParagraph"/>
        <w:numPr>
          <w:ilvl w:val="0"/>
          <w:numId w:val="9"/>
        </w:numPr>
        <w:ind w:left="357" w:hanging="357"/>
        <w:contextualSpacing w:val="0"/>
      </w:pPr>
      <w:r>
        <w:t>Take it out and rinse again.</w:t>
      </w:r>
    </w:p>
    <w:p w14:paraId="05D1F935" w14:textId="47A41B33" w:rsidR="005C15BA" w:rsidRPr="005C15BA" w:rsidRDefault="005C15BA" w:rsidP="005C15BA">
      <w:pPr>
        <w:pStyle w:val="ListParagraph"/>
        <w:numPr>
          <w:ilvl w:val="0"/>
          <w:numId w:val="9"/>
        </w:numPr>
        <w:ind w:left="357" w:hanging="357"/>
        <w:contextualSpacing w:val="0"/>
      </w:pPr>
      <w:r w:rsidRPr="005C15BA">
        <w:t>Dip the pH meter into water and take a reading of well E2</w:t>
      </w:r>
      <w:r w:rsidR="00216334">
        <w:t xml:space="preserve"> (or the next one)</w:t>
      </w:r>
      <w:r w:rsidRPr="005C15BA">
        <w:t xml:space="preserve">. Continue in this way up to F5. </w:t>
      </w:r>
    </w:p>
    <w:p w14:paraId="63520CEA" w14:textId="2694354D" w:rsidR="006103A0" w:rsidRDefault="006103A0">
      <w:pPr>
        <w:rPr>
          <w:b/>
        </w:rPr>
      </w:pPr>
    </w:p>
    <w:p w14:paraId="5DC662B8" w14:textId="37AB6A36" w:rsidR="005C15BA" w:rsidRPr="00091334" w:rsidRDefault="00AD323E" w:rsidP="005C15BA">
      <w:pPr>
        <w:rPr>
          <w:b/>
        </w:rPr>
      </w:pPr>
      <w:r>
        <w:rPr>
          <w:b/>
        </w:rPr>
        <w:t>Extension</w:t>
      </w:r>
    </w:p>
    <w:p w14:paraId="5318D3DB" w14:textId="639EC082" w:rsidR="00E070ED" w:rsidRDefault="00C91ACC" w:rsidP="00E070ED">
      <w:pPr>
        <w:pStyle w:val="ListParagraph"/>
        <w:numPr>
          <w:ilvl w:val="0"/>
          <w:numId w:val="9"/>
        </w:numPr>
        <w:ind w:left="357" w:hanging="357"/>
        <w:contextualSpacing w:val="0"/>
      </w:pPr>
      <w:r>
        <w:t>If you wish, you can then use your series of bu</w:t>
      </w:r>
      <w:r w:rsidR="000954F3">
        <w:t>ff</w:t>
      </w:r>
      <w:r>
        <w:t>er solutions to investigate indicators.</w:t>
      </w:r>
    </w:p>
    <w:p w14:paraId="7A846653" w14:textId="77777777" w:rsidR="00946C1B" w:rsidRDefault="00946C1B" w:rsidP="00946C1B"/>
    <w:p w14:paraId="44568253" w14:textId="77777777" w:rsidR="00946C1B" w:rsidRDefault="00946C1B" w:rsidP="00946C1B">
      <w:pPr>
        <w:pStyle w:val="Heading1"/>
      </w:pPr>
      <w:r>
        <w:t>Example results using commercial indicators</w:t>
      </w:r>
    </w:p>
    <w:p w14:paraId="648955FF" w14:textId="24A8D18B" w:rsidR="00AD323E" w:rsidRDefault="00AD323E" w:rsidP="00AD323E">
      <w:r>
        <w:t xml:space="preserve">Sample </w:t>
      </w:r>
      <w:r w:rsidR="00DA40BB">
        <w:t>pH values</w:t>
      </w:r>
      <w:r>
        <w:t xml:space="preserve"> for the buffer solutions are:</w:t>
      </w:r>
    </w:p>
    <w:p w14:paraId="1DDECE56" w14:textId="42638553" w:rsidR="00AD323E" w:rsidRPr="00AD323E" w:rsidRDefault="000334E4" w:rsidP="001044CD">
      <w:pPr>
        <w:ind w:firstLine="720"/>
      </w:pPr>
      <w:r>
        <w:t>1.9</w:t>
      </w:r>
      <w:r>
        <w:tab/>
        <w:t>2.1</w:t>
      </w:r>
      <w:r>
        <w:tab/>
        <w:t>3.2</w:t>
      </w:r>
      <w:r>
        <w:tab/>
        <w:t>4.2</w:t>
      </w:r>
      <w:r>
        <w:tab/>
        <w:t>5.9</w:t>
      </w:r>
      <w:r>
        <w:tab/>
        <w:t>6.8</w:t>
      </w:r>
      <w:r>
        <w:tab/>
        <w:t>9.1</w:t>
      </w:r>
      <w:r>
        <w:tab/>
        <w:t>10.1</w:t>
      </w:r>
      <w:r>
        <w:tab/>
      </w:r>
      <w:r w:rsidR="001044CD">
        <w:t>11.6</w:t>
      </w:r>
      <w:r w:rsidR="001044CD">
        <w:tab/>
        <w:t>12.1</w:t>
      </w:r>
      <w:r w:rsidR="001044CD">
        <w:tab/>
        <w:t>12.4</w:t>
      </w:r>
    </w:p>
    <w:p w14:paraId="6AEFE9B9" w14:textId="77777777" w:rsidR="00014425" w:rsidRDefault="00014425" w:rsidP="00D3228A"/>
    <w:p w14:paraId="586380C2" w14:textId="0600E222" w:rsidR="009701B7" w:rsidRDefault="00DA40BB" w:rsidP="00D3228A">
      <w:r>
        <w:t>The photo below (c</w:t>
      </w:r>
      <w:r w:rsidR="00544EFD">
        <w:t xml:space="preserve">ourtesy of Bob Worley at CLEAPSS) shows </w:t>
      </w:r>
      <w:r w:rsidR="00524DB3">
        <w:t>the buffers</w:t>
      </w:r>
      <w:r w:rsidR="00014425">
        <w:t xml:space="preserve"> and their use testing indicators in a combi-plate.</w:t>
      </w:r>
    </w:p>
    <w:p w14:paraId="75B7170D" w14:textId="0BFC3BCC" w:rsidR="00DA40BB" w:rsidRPr="00D3228A" w:rsidRDefault="00DA40BB" w:rsidP="00D3228A">
      <w:r w:rsidRPr="00E070ED">
        <w:rPr>
          <w:noProof/>
          <w:lang w:eastAsia="en-GB"/>
        </w:rPr>
        <w:drawing>
          <wp:inline distT="0" distB="0" distL="0" distR="0" wp14:anchorId="668EAE24" wp14:editId="0ABB7B4A">
            <wp:extent cx="6338618" cy="3452337"/>
            <wp:effectExtent l="19050" t="0" r="5032" b="0"/>
            <wp:docPr id="9" name="Picture 2" descr="indocators and comb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ocators and comb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89" cy="345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40BB" w:rsidRPr="00D3228A" w:rsidSect="005D5F37">
      <w:pgSz w:w="11906" w:h="16838"/>
      <w:pgMar w:top="820" w:right="851" w:bottom="851" w:left="851" w:header="708" w:footer="708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1733"/>
    <w:multiLevelType w:val="singleLevel"/>
    <w:tmpl w:val="0976498A"/>
    <w:lvl w:ilvl="0">
      <w:start w:val="1"/>
      <w:numFmt w:val="bullet"/>
      <w:pStyle w:val="Bunya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6262B5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0E30E7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72F25"/>
    <w:multiLevelType w:val="hybridMultilevel"/>
    <w:tmpl w:val="572248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9704E7"/>
    <w:multiLevelType w:val="hybridMultilevel"/>
    <w:tmpl w:val="572248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6E0"/>
    <w:multiLevelType w:val="hybridMultilevel"/>
    <w:tmpl w:val="A9AE2938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4AA71CDE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5990680">
    <w:abstractNumId w:val="6"/>
  </w:num>
  <w:num w:numId="2" w16cid:durableId="1367559592">
    <w:abstractNumId w:val="0"/>
  </w:num>
  <w:num w:numId="3" w16cid:durableId="1962226249">
    <w:abstractNumId w:val="7"/>
  </w:num>
  <w:num w:numId="4" w16cid:durableId="1434282265">
    <w:abstractNumId w:val="2"/>
  </w:num>
  <w:num w:numId="5" w16cid:durableId="1172136230">
    <w:abstractNumId w:val="8"/>
  </w:num>
  <w:num w:numId="6" w16cid:durableId="2065131428">
    <w:abstractNumId w:val="3"/>
  </w:num>
  <w:num w:numId="7" w16cid:durableId="1552112258">
    <w:abstractNumId w:val="5"/>
  </w:num>
  <w:num w:numId="8" w16cid:durableId="103237045">
    <w:abstractNumId w:val="1"/>
  </w:num>
  <w:num w:numId="9" w16cid:durableId="307133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941"/>
    <w:rsid w:val="000136E7"/>
    <w:rsid w:val="00014425"/>
    <w:rsid w:val="00016D60"/>
    <w:rsid w:val="000334E4"/>
    <w:rsid w:val="0008725A"/>
    <w:rsid w:val="00091334"/>
    <w:rsid w:val="000954F3"/>
    <w:rsid w:val="000966E3"/>
    <w:rsid w:val="000D3941"/>
    <w:rsid w:val="000F0B77"/>
    <w:rsid w:val="001044CD"/>
    <w:rsid w:val="00134EFC"/>
    <w:rsid w:val="001677C8"/>
    <w:rsid w:val="001949A3"/>
    <w:rsid w:val="00216334"/>
    <w:rsid w:val="00241B96"/>
    <w:rsid w:val="0026796E"/>
    <w:rsid w:val="00271738"/>
    <w:rsid w:val="002F1B4A"/>
    <w:rsid w:val="00310690"/>
    <w:rsid w:val="0031157A"/>
    <w:rsid w:val="003179CF"/>
    <w:rsid w:val="00343035"/>
    <w:rsid w:val="00381B5A"/>
    <w:rsid w:val="003C22F8"/>
    <w:rsid w:val="00404CA7"/>
    <w:rsid w:val="00407744"/>
    <w:rsid w:val="00432D20"/>
    <w:rsid w:val="004513EB"/>
    <w:rsid w:val="00462F40"/>
    <w:rsid w:val="00482DCB"/>
    <w:rsid w:val="004952AF"/>
    <w:rsid w:val="004A4A8E"/>
    <w:rsid w:val="004B4D17"/>
    <w:rsid w:val="004D642F"/>
    <w:rsid w:val="004E0F62"/>
    <w:rsid w:val="00524DB3"/>
    <w:rsid w:val="00544EFD"/>
    <w:rsid w:val="00570FC0"/>
    <w:rsid w:val="00571F15"/>
    <w:rsid w:val="005839B8"/>
    <w:rsid w:val="005A26D0"/>
    <w:rsid w:val="005C15BA"/>
    <w:rsid w:val="005C59C2"/>
    <w:rsid w:val="005D424A"/>
    <w:rsid w:val="005D5F37"/>
    <w:rsid w:val="006103A0"/>
    <w:rsid w:val="00704FAB"/>
    <w:rsid w:val="00706616"/>
    <w:rsid w:val="007265FF"/>
    <w:rsid w:val="007275B1"/>
    <w:rsid w:val="007431D5"/>
    <w:rsid w:val="00783E3B"/>
    <w:rsid w:val="00794310"/>
    <w:rsid w:val="00812BC3"/>
    <w:rsid w:val="00832E71"/>
    <w:rsid w:val="00840DDB"/>
    <w:rsid w:val="00845297"/>
    <w:rsid w:val="008D3072"/>
    <w:rsid w:val="008D6B4B"/>
    <w:rsid w:val="008E0973"/>
    <w:rsid w:val="008F482E"/>
    <w:rsid w:val="00946C1B"/>
    <w:rsid w:val="00952633"/>
    <w:rsid w:val="009701B7"/>
    <w:rsid w:val="00996652"/>
    <w:rsid w:val="009D719F"/>
    <w:rsid w:val="009E7A07"/>
    <w:rsid w:val="00A05AFD"/>
    <w:rsid w:val="00A22BBD"/>
    <w:rsid w:val="00A76330"/>
    <w:rsid w:val="00A91F6B"/>
    <w:rsid w:val="00AD323E"/>
    <w:rsid w:val="00AE1A7B"/>
    <w:rsid w:val="00AE5C88"/>
    <w:rsid w:val="00B358F7"/>
    <w:rsid w:val="00B411A6"/>
    <w:rsid w:val="00B51B8B"/>
    <w:rsid w:val="00B7322C"/>
    <w:rsid w:val="00B77726"/>
    <w:rsid w:val="00BD53AB"/>
    <w:rsid w:val="00C02BC3"/>
    <w:rsid w:val="00C83A3C"/>
    <w:rsid w:val="00C91ACC"/>
    <w:rsid w:val="00D1237B"/>
    <w:rsid w:val="00D3228A"/>
    <w:rsid w:val="00D32E93"/>
    <w:rsid w:val="00DA40BB"/>
    <w:rsid w:val="00DB7C4B"/>
    <w:rsid w:val="00E070ED"/>
    <w:rsid w:val="00EC1356"/>
    <w:rsid w:val="00EC7BAE"/>
    <w:rsid w:val="00F71369"/>
    <w:rsid w:val="00F746BF"/>
    <w:rsid w:val="00F8530D"/>
    <w:rsid w:val="00FA7F23"/>
    <w:rsid w:val="00FC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51FD"/>
  <w15:docId w15:val="{228ECE6D-9884-4CA4-B6EB-9FDD6694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28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28A"/>
    <w:pPr>
      <w:outlineLvl w:val="0"/>
    </w:pPr>
    <w:rPr>
      <w:rFonts w:cstheme="majorBidi"/>
      <w:b/>
      <w:bCs/>
      <w:color w:val="2F549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8A"/>
    <w:pPr>
      <w:outlineLvl w:val="1"/>
    </w:pPr>
    <w:rPr>
      <w:rFonts w:cstheme="majorBidi"/>
      <w:b/>
      <w:bCs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28A"/>
    <w:pPr>
      <w:outlineLvl w:val="2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D3228A"/>
    <w:rPr>
      <w:rFonts w:ascii="Times New Roman" w:hAnsi="Times New Roman" w:cstheme="majorBidi"/>
      <w:b/>
      <w:bCs/>
      <w:color w:val="2F5496"/>
      <w:sz w:val="36"/>
      <w:szCs w:val="36"/>
    </w:rPr>
  </w:style>
  <w:style w:type="character" w:customStyle="1" w:styleId="Heading2Char">
    <w:name w:val="Heading 2 Char"/>
    <w:link w:val="Heading2"/>
    <w:uiPriority w:val="9"/>
    <w:rsid w:val="00D3228A"/>
    <w:rPr>
      <w:rFonts w:ascii="Times New Roman" w:hAnsi="Times New Roman" w:cstheme="majorBidi"/>
      <w:b/>
      <w:bCs/>
      <w:color w:val="2F549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3228A"/>
    <w:pPr>
      <w:pBdr>
        <w:bottom w:val="single" w:sz="8" w:space="1" w:color="1F3864"/>
      </w:pBdr>
      <w:spacing w:after="0" w:line="240" w:lineRule="auto"/>
      <w:contextualSpacing/>
    </w:pPr>
    <w:rPr>
      <w:rFonts w:eastAsia="Yu Gothic Light" w:cstheme="majorBidi"/>
      <w:color w:val="2F5496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3228A"/>
    <w:rPr>
      <w:rFonts w:ascii="Times New Roman" w:eastAsia="Yu Gothic Light" w:hAnsi="Times New Roman" w:cstheme="majorBidi"/>
      <w:color w:val="2F5496"/>
      <w:spacing w:val="-10"/>
      <w:kern w:val="28"/>
      <w:sz w:val="56"/>
      <w:szCs w:val="56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D3228A"/>
    <w:pPr>
      <w:numPr>
        <w:ilvl w:val="1"/>
      </w:numPr>
      <w:spacing w:after="160"/>
      <w:outlineLvl w:val="9"/>
    </w:pPr>
    <w:rPr>
      <w:rFonts w:asciiTheme="minorHAnsi" w:eastAsiaTheme="minorEastAsia" w:hAnsiTheme="minorHAnsi" w:cstheme="minorBidi"/>
      <w:b w:val="0"/>
      <w:bCs w:val="0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3228A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322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paragraph" w:customStyle="1" w:styleId="Default">
    <w:name w:val="Default"/>
    <w:rsid w:val="000D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yanbullet">
    <w:name w:val="Bunyan bullet"/>
    <w:basedOn w:val="Normal"/>
    <w:rsid w:val="00404CA7"/>
    <w:pPr>
      <w:numPr>
        <w:numId w:val="8"/>
      </w:numPr>
      <w:tabs>
        <w:tab w:val="left" w:pos="1980"/>
      </w:tabs>
      <w:spacing w:before="40" w:after="40" w:line="300" w:lineRule="exact"/>
    </w:pPr>
    <w:rPr>
      <w:rFonts w:ascii="Arial" w:eastAsia="Times New Roman" w:hAnsi="Arial" w:cs="Times New Roman"/>
      <w:sz w:val="2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0ED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D3228A"/>
    <w:rPr>
      <w:rFonts w:ascii="Times New Roman" w:hAnsi="Times New Roman" w:cs="Times New Roman"/>
      <w:b/>
      <w:bCs/>
      <w:sz w:val="24"/>
      <w:szCs w:val="24"/>
    </w:rPr>
  </w:style>
  <w:style w:type="character" w:styleId="Strong">
    <w:name w:val="Strong"/>
    <w:uiPriority w:val="22"/>
    <w:qFormat/>
    <w:rsid w:val="00D32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277D3-BCDE-47F6-B109-83FD3A66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35</TotalTime>
  <Pages>1</Pages>
  <Words>388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cp:lastModifiedBy>Chris Lloyd</cp:lastModifiedBy>
  <cp:revision>38</cp:revision>
  <cp:lastPrinted>2015-06-13T19:54:00Z</cp:lastPrinted>
  <dcterms:created xsi:type="dcterms:W3CDTF">2015-07-08T17:00:00Z</dcterms:created>
  <dcterms:modified xsi:type="dcterms:W3CDTF">2024-12-11T12:33:00Z</dcterms:modified>
</cp:coreProperties>
</file>